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Pr="00C952BB" w:rsidRDefault="004B3EB4" w:rsidP="004B3EB4">
      <w:pPr>
        <w:jc w:val="center"/>
        <w:rPr>
          <w:rFonts w:ascii="Times New Roman" w:hAnsi="Times New Roman"/>
          <w:sz w:val="24"/>
          <w:szCs w:val="22"/>
          <w:lang w:val="nl-BE"/>
        </w:rPr>
      </w:pPr>
      <w:bookmarkStart w:id="0" w:name="_Toc360188413"/>
      <w:bookmarkStart w:id="1" w:name="_Toc473561053"/>
      <w:bookmarkStart w:id="2" w:name="_Toc117766050"/>
      <w:r w:rsidRPr="00C952BB">
        <w:rPr>
          <w:rFonts w:ascii="Times New Roman" w:hAnsi="Times New Roman"/>
          <w:sz w:val="24"/>
          <w:lang w:val="nl-BE"/>
        </w:rPr>
        <w:t>NL</w:t>
      </w:r>
    </w:p>
    <w:p w14:paraId="673AA6A5" w14:textId="77777777" w:rsidR="004B3EB4" w:rsidRPr="00C952BB" w:rsidRDefault="004B3EB4" w:rsidP="004B3EB4">
      <w:pPr>
        <w:rPr>
          <w:rFonts w:asciiTheme="minorHAnsi" w:hAnsiTheme="minorHAnsi"/>
          <w:sz w:val="22"/>
          <w:lang w:val="nl-BE"/>
        </w:rPr>
      </w:pPr>
    </w:p>
    <w:p w14:paraId="714F1821" w14:textId="77777777" w:rsidR="009A273F" w:rsidRPr="00C952BB" w:rsidRDefault="009A273F" w:rsidP="009A273F">
      <w:pPr>
        <w:jc w:val="center"/>
        <w:rPr>
          <w:rFonts w:ascii="Times New Roman" w:hAnsi="Times New Roman"/>
          <w:sz w:val="24"/>
          <w:lang w:val="nl-BE"/>
        </w:rPr>
      </w:pPr>
      <w:r w:rsidRPr="00C952BB">
        <w:rPr>
          <w:rFonts w:ascii="Times New Roman" w:hAnsi="Times New Roman"/>
          <w:sz w:val="24"/>
          <w:lang w:val="nl-BE"/>
        </w:rPr>
        <w:t>BIJLAGE II</w:t>
      </w:r>
    </w:p>
    <w:p w14:paraId="025DAC25" w14:textId="77777777" w:rsidR="009A273F" w:rsidRPr="00C952BB" w:rsidRDefault="009A273F" w:rsidP="009A273F">
      <w:pPr>
        <w:jc w:val="center"/>
        <w:rPr>
          <w:rFonts w:ascii="Times New Roman" w:hAnsi="Times New Roman"/>
          <w:sz w:val="24"/>
          <w:lang w:val="nl-BE"/>
        </w:rPr>
      </w:pPr>
      <w:r w:rsidRPr="00C952BB">
        <w:rPr>
          <w:rFonts w:ascii="Times New Roman" w:hAnsi="Times New Roman"/>
          <w:sz w:val="24"/>
          <w:lang w:val="nl-BE"/>
        </w:rPr>
        <w:t>“BIJLAGE II</w:t>
      </w:r>
    </w:p>
    <w:p w14:paraId="5EA1A82F" w14:textId="77777777" w:rsidR="009A273F" w:rsidRPr="00C952BB" w:rsidRDefault="009A273F" w:rsidP="009A273F">
      <w:pPr>
        <w:jc w:val="center"/>
        <w:rPr>
          <w:rFonts w:ascii="Times New Roman" w:hAnsi="Times New Roman"/>
          <w:b/>
          <w:sz w:val="24"/>
          <w:lang w:val="nl-BE"/>
        </w:rPr>
      </w:pPr>
      <w:r w:rsidRPr="00C952BB">
        <w:rPr>
          <w:rFonts w:ascii="Times New Roman" w:hAnsi="Times New Roman"/>
          <w:b/>
          <w:sz w:val="24"/>
          <w:lang w:val="nl-BE"/>
        </w:rPr>
        <w:t>INSTRUCTIES VOOR RAPPORTAGE INZAKE EIGEN VERMOGEN EN EIGENVERMOGENSVEREISTEN</w:t>
      </w:r>
    </w:p>
    <w:p w14:paraId="7ABDFB60" w14:textId="77777777" w:rsidR="009A273F" w:rsidRPr="00C952BB" w:rsidRDefault="009A273F" w:rsidP="009A273F">
      <w:pPr>
        <w:rPr>
          <w:lang w:val="nl-BE"/>
        </w:rPr>
      </w:pPr>
    </w:p>
    <w:p w14:paraId="65617CB9" w14:textId="77777777" w:rsidR="009A273F" w:rsidRPr="00C952BB" w:rsidRDefault="009A273F" w:rsidP="009A273F">
      <w:pPr>
        <w:spacing w:before="0" w:after="0"/>
        <w:jc w:val="left"/>
        <w:rPr>
          <w:rStyle w:val="InstructionsTabelleText"/>
          <w:rFonts w:ascii="Times New Roman" w:hAnsi="Times New Roman"/>
          <w:b/>
          <w:bCs/>
          <w:sz w:val="24"/>
          <w:u w:val="single"/>
          <w:lang w:val="nl-BE"/>
        </w:rPr>
      </w:pPr>
      <w:r w:rsidRPr="00C952BB">
        <w:rPr>
          <w:rStyle w:val="InstructionsTabelleText"/>
          <w:rFonts w:ascii="Times New Roman" w:hAnsi="Times New Roman"/>
          <w:b/>
          <w:sz w:val="24"/>
          <w:u w:val="single"/>
          <w:lang w:val="nl-BE"/>
        </w:rPr>
        <w:t>DEEL II: INSTRUCTIES MET BETREKKING TOT DE TEMPLATES</w:t>
      </w:r>
    </w:p>
    <w:p w14:paraId="67FA9FF1" w14:textId="77777777" w:rsidR="009A273F" w:rsidRPr="00C952BB" w:rsidRDefault="009A273F" w:rsidP="009A273F">
      <w:pPr>
        <w:spacing w:before="0" w:after="0"/>
        <w:jc w:val="left"/>
        <w:rPr>
          <w:rStyle w:val="InstructionsTabelleText"/>
          <w:rFonts w:ascii="Times New Roman" w:hAnsi="Times New Roman"/>
          <w:sz w:val="24"/>
          <w:lang w:val="nl-BE"/>
        </w:rPr>
      </w:pPr>
      <w:r w:rsidRPr="00C952BB">
        <w:rPr>
          <w:rStyle w:val="InstructionsTabelleText"/>
          <w:rFonts w:ascii="Times New Roman" w:hAnsi="Times New Roman"/>
          <w:sz w:val="24"/>
          <w:lang w:val="nl-BE"/>
        </w:rPr>
        <w:t xml:space="preserve"> </w:t>
      </w:r>
    </w:p>
    <w:p w14:paraId="49367E83" w14:textId="77777777" w:rsidR="009A273F" w:rsidRPr="00C952BB" w:rsidRDefault="009A273F" w:rsidP="009A273F">
      <w:pPr>
        <w:spacing w:before="0" w:after="0"/>
        <w:jc w:val="left"/>
        <w:rPr>
          <w:rStyle w:val="InstructionsTabelleText"/>
          <w:rFonts w:ascii="Times New Roman" w:hAnsi="Times New Roman"/>
          <w:sz w:val="24"/>
          <w:lang w:val="nl-BE"/>
        </w:rPr>
      </w:pPr>
      <w:r w:rsidRPr="00C952BB">
        <w:rPr>
          <w:rStyle w:val="InstructionsTabelleText"/>
          <w:rFonts w:ascii="Times New Roman" w:hAnsi="Times New Roman"/>
          <w:sz w:val="24"/>
          <w:lang w:val="nl-BE"/>
        </w:rPr>
        <w:t>(…)</w:t>
      </w:r>
    </w:p>
    <w:p w14:paraId="07BCB996" w14:textId="77777777" w:rsidR="009A273F" w:rsidRPr="00C952BB" w:rsidRDefault="009A273F" w:rsidP="009A273F">
      <w:pPr>
        <w:spacing w:before="0" w:after="0"/>
        <w:jc w:val="left"/>
        <w:rPr>
          <w:rStyle w:val="InstructionsTabelleText"/>
          <w:rFonts w:ascii="Times New Roman" w:hAnsi="Times New Roman"/>
          <w:sz w:val="24"/>
          <w:lang w:val="nl-BE"/>
        </w:rPr>
      </w:pPr>
    </w:p>
    <w:p w14:paraId="2A449DF9" w14:textId="75B5D8AF" w:rsidR="00DD5030" w:rsidRPr="00C952BB" w:rsidRDefault="00606FB5" w:rsidP="009A273F">
      <w:pPr>
        <w:spacing w:before="0" w:after="0"/>
        <w:jc w:val="left"/>
        <w:rPr>
          <w:rFonts w:ascii="Times New Roman" w:hAnsi="Times New Roman"/>
          <w:sz w:val="24"/>
          <w:lang w:val="nl-BE"/>
        </w:rPr>
      </w:pPr>
      <w:r w:rsidRPr="00C952BB">
        <w:rPr>
          <w:rFonts w:ascii="Times New Roman" w:hAnsi="Times New Roman"/>
          <w:sz w:val="24"/>
          <w:lang w:val="nl-BE"/>
        </w:rPr>
        <w:t>5.8.</w:t>
      </w:r>
      <w:r w:rsidRPr="00C952BB">
        <w:rPr>
          <w:rFonts w:ascii="Times New Roman" w:hAnsi="Times New Roman"/>
          <w:sz w:val="24"/>
          <w:lang w:val="nl-BE"/>
        </w:rPr>
        <w:tab/>
        <w:t>C 25.01 – RISICO VAN AANPASSING VAN KREDIETWAARDERING (CVA)</w:t>
      </w:r>
      <w:bookmarkEnd w:id="0"/>
      <w:bookmarkEnd w:id="1"/>
      <w:bookmarkEnd w:id="2"/>
    </w:p>
    <w:p w14:paraId="33239E01" w14:textId="77777777" w:rsidR="00606FB5" w:rsidRPr="00C952BB" w:rsidRDefault="00606FB5" w:rsidP="00606FB5">
      <w:pPr>
        <w:pStyle w:val="Instructionsberschrift2"/>
        <w:numPr>
          <w:ilvl w:val="0"/>
          <w:numId w:val="0"/>
        </w:numPr>
        <w:ind w:left="357" w:hanging="357"/>
        <w:rPr>
          <w:rFonts w:ascii="Times New Roman" w:hAnsi="Times New Roman" w:cs="Times New Roman"/>
          <w:sz w:val="24"/>
          <w:lang w:val="nl-BE"/>
        </w:rPr>
      </w:pPr>
      <w:bookmarkStart w:id="3" w:name="_Toc360188414"/>
      <w:bookmarkStart w:id="4" w:name="_Toc473561054"/>
      <w:bookmarkStart w:id="5" w:name="_Toc117766051"/>
      <w:bookmarkStart w:id="6" w:name="_Toc310008820"/>
      <w:r w:rsidRPr="00C952BB">
        <w:rPr>
          <w:rFonts w:ascii="Times New Roman" w:hAnsi="Times New Roman"/>
          <w:sz w:val="24"/>
          <w:u w:val="none"/>
          <w:lang w:val="nl-BE"/>
        </w:rPr>
        <w:t>5.8.1.</w:t>
      </w:r>
      <w:r w:rsidRPr="00C952BB">
        <w:rPr>
          <w:rFonts w:ascii="Times New Roman" w:hAnsi="Times New Roman"/>
          <w:sz w:val="24"/>
          <w:u w:val="none"/>
          <w:lang w:val="nl-BE"/>
        </w:rPr>
        <w:tab/>
      </w:r>
      <w:r w:rsidRPr="00C952BB">
        <w:rPr>
          <w:rFonts w:ascii="Times New Roman" w:hAnsi="Times New Roman"/>
          <w:sz w:val="24"/>
          <w:lang w:val="nl-BE"/>
        </w:rPr>
        <w:t>Instructies voor specifieke posities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C952BB" w14:paraId="0110EC19" w14:textId="77777777" w:rsidTr="006A3ADC">
        <w:tc>
          <w:tcPr>
            <w:tcW w:w="9016" w:type="dxa"/>
            <w:gridSpan w:val="2"/>
            <w:shd w:val="clear" w:color="auto" w:fill="CCCCCC"/>
          </w:tcPr>
          <w:p w14:paraId="42563A8C" w14:textId="77777777" w:rsidR="00680687" w:rsidRPr="00C952BB" w:rsidRDefault="00680687" w:rsidP="006A3ADC">
            <w:pPr>
              <w:rPr>
                <w:rFonts w:ascii="Times New Roman" w:hAnsi="Times New Roman"/>
                <w:b/>
                <w:sz w:val="24"/>
                <w:lang w:val="nl-BE"/>
              </w:rPr>
            </w:pPr>
            <w:r w:rsidRPr="00C952BB">
              <w:rPr>
                <w:rFonts w:ascii="Times New Roman" w:hAnsi="Times New Roman"/>
                <w:b/>
                <w:sz w:val="24"/>
                <w:lang w:val="nl-BE"/>
              </w:rPr>
              <w:t>Kolommen</w:t>
            </w:r>
          </w:p>
        </w:tc>
      </w:tr>
      <w:tr w:rsidR="00680687" w:rsidRPr="00C952BB" w14:paraId="22C86396" w14:textId="77777777" w:rsidTr="006A3ADC">
        <w:tc>
          <w:tcPr>
            <w:tcW w:w="1172" w:type="dxa"/>
          </w:tcPr>
          <w:p w14:paraId="013E2964"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0010</w:t>
            </w:r>
          </w:p>
        </w:tc>
        <w:tc>
          <w:tcPr>
            <w:tcW w:w="7844" w:type="dxa"/>
          </w:tcPr>
          <w:p w14:paraId="48C69E8C"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CCR-blootstellingswaarde</w:t>
            </w:r>
          </w:p>
          <w:p w14:paraId="06BD2F33"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Blootstellingswaarde voor tegenpartijkredietrisico (CCR) berekend overeenkomstig de methoden bepaald in deel drie, titel II, hoofdstukken 4 en 6, van Verordening (EU) nr. 575/2013.</w:t>
            </w:r>
          </w:p>
        </w:tc>
      </w:tr>
      <w:tr w:rsidR="00680687" w:rsidRPr="00C952BB" w14:paraId="117387BA" w14:textId="77777777" w:rsidTr="006A3ADC">
        <w:tc>
          <w:tcPr>
            <w:tcW w:w="1172" w:type="dxa"/>
          </w:tcPr>
          <w:p w14:paraId="7CA143D6"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0020</w:t>
            </w:r>
          </w:p>
        </w:tc>
        <w:tc>
          <w:tcPr>
            <w:tcW w:w="7844" w:type="dxa"/>
          </w:tcPr>
          <w:p w14:paraId="51B45A7C"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Eigenvermogensvereisten voor CCR</w:t>
            </w:r>
          </w:p>
          <w:p w14:paraId="0F0016B3"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Eigenvermogensvereisten voor CCR (artikel 92, lid 4, punten a) en g), en deel drie, titel VI, van Verordening (EU) nr. 575/2013.</w:t>
            </w:r>
          </w:p>
        </w:tc>
      </w:tr>
      <w:tr w:rsidR="00680687" w:rsidRPr="00C952BB" w14:paraId="5F978FE1" w14:textId="77777777" w:rsidTr="006A3ADC">
        <w:tc>
          <w:tcPr>
            <w:tcW w:w="1172" w:type="dxa"/>
          </w:tcPr>
          <w:p w14:paraId="182AB4FA"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0030</w:t>
            </w:r>
          </w:p>
        </w:tc>
        <w:tc>
          <w:tcPr>
            <w:tcW w:w="7844" w:type="dxa"/>
          </w:tcPr>
          <w:p w14:paraId="396D9C75"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Notionele waarde</w:t>
            </w:r>
          </w:p>
          <w:p w14:paraId="3D1812D7"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De som van de notionele bedragen voor derivaten vóór netting en zonder aanpassingen overeenkomstig artikel 279 ter van Verordening (EU) nr. 575/2013.</w:t>
            </w:r>
          </w:p>
        </w:tc>
      </w:tr>
      <w:tr w:rsidR="00680687" w:rsidRPr="00C952BB" w14:paraId="26F18ADD" w14:textId="77777777" w:rsidTr="006A3ADC">
        <w:tc>
          <w:tcPr>
            <w:tcW w:w="1172" w:type="dxa"/>
          </w:tcPr>
          <w:p w14:paraId="5477996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0040</w:t>
            </w:r>
          </w:p>
        </w:tc>
        <w:tc>
          <w:tcPr>
            <w:tcW w:w="7844" w:type="dxa"/>
          </w:tcPr>
          <w:p w14:paraId="0B450F7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Aangegane CVA</w:t>
            </w:r>
          </w:p>
          <w:p w14:paraId="736FE6AE"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Boekhoudkundige voorzieningen in verband met verlaagde kredietwaardigheid van tegenpartijen bij derivatentransacties.</w:t>
            </w:r>
          </w:p>
        </w:tc>
      </w:tr>
      <w:tr w:rsidR="00680687" w:rsidRPr="00C952BB" w14:paraId="31462293" w14:textId="77777777" w:rsidTr="006A3ADC">
        <w:tc>
          <w:tcPr>
            <w:tcW w:w="1172" w:type="dxa"/>
          </w:tcPr>
          <w:p w14:paraId="1B68F842"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0050</w:t>
            </w:r>
          </w:p>
        </w:tc>
        <w:tc>
          <w:tcPr>
            <w:tcW w:w="7844" w:type="dxa"/>
          </w:tcPr>
          <w:p w14:paraId="2508C9C1"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Vereenvoudigde behandeling voor afgeleide posities van icb’s</w:t>
            </w:r>
          </w:p>
          <w:p w14:paraId="5D30B96B"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Eigenvermogensvereisten voor CVA (artikel 92, lid 4, punt e), en deel drie, titel VI van Verordening (EU) nr. 575/2013), berekend overeenkomstig de vereenvoudigde benadering voor derivatenposities van icb’s bedoeld in artikel 132 bis, lid, 3, artikel 152, lid 3, en artikel 325 undecies, lid 1), van Verordening (EU) nr. 575/2013.</w:t>
            </w:r>
          </w:p>
        </w:tc>
      </w:tr>
      <w:tr w:rsidR="00680687" w:rsidRPr="00C952BB" w14:paraId="30F1E0DD" w14:textId="77777777" w:rsidTr="006A3ADC">
        <w:tc>
          <w:tcPr>
            <w:tcW w:w="1172" w:type="dxa"/>
          </w:tcPr>
          <w:p w14:paraId="6AA94009"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0060</w:t>
            </w:r>
          </w:p>
        </w:tc>
        <w:tc>
          <w:tcPr>
            <w:tcW w:w="7844" w:type="dxa"/>
          </w:tcPr>
          <w:p w14:paraId="7A0A82EA"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Vereenvoudigde benadering</w:t>
            </w:r>
          </w:p>
          <w:p w14:paraId="004D4F8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lastRenderedPageBreak/>
              <w:t>Eigenvermogensvereisten voor transacties die zijn onderworpen aan de vereenvoudigde benadering als bedoeld in artikel 385 van Verordening (EU) nr. 575/2013.</w:t>
            </w:r>
          </w:p>
        </w:tc>
      </w:tr>
      <w:tr w:rsidR="00680687" w:rsidRPr="00C952BB" w14:paraId="5F75A918" w14:textId="77777777" w:rsidTr="006A3ADC">
        <w:tc>
          <w:tcPr>
            <w:tcW w:w="1172" w:type="dxa"/>
          </w:tcPr>
          <w:p w14:paraId="4A4C55CD"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lastRenderedPageBreak/>
              <w:t>0070</w:t>
            </w:r>
          </w:p>
        </w:tc>
        <w:tc>
          <w:tcPr>
            <w:tcW w:w="7844" w:type="dxa"/>
          </w:tcPr>
          <w:p w14:paraId="6D8487B1"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Verlaagde BA-CVA-benadering</w:t>
            </w:r>
          </w:p>
          <w:p w14:paraId="1056729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Eigenvermogensvereisten voor CVA (artikel 92, lid 4, punt e), en deel drie, titel VI, van Verordening (EU) nr. 575/2013), berekend overeenkomstig artikel 384, lid 3, van Verordening (EU) nr. 575/2013 voor een instelling die voldoet aan de voorwaarde van artikel 384, lid 1, punt b), van Verordening (EU) nr. 575/2013.</w:t>
            </w:r>
          </w:p>
        </w:tc>
      </w:tr>
      <w:tr w:rsidR="00680687" w:rsidRPr="00C952BB" w14:paraId="775123CE" w14:textId="77777777" w:rsidTr="006A3ADC">
        <w:tc>
          <w:tcPr>
            <w:tcW w:w="1172" w:type="dxa"/>
          </w:tcPr>
          <w:p w14:paraId="3FE4F30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0080-0110</w:t>
            </w:r>
          </w:p>
        </w:tc>
        <w:tc>
          <w:tcPr>
            <w:tcW w:w="7844" w:type="dxa"/>
          </w:tcPr>
          <w:p w14:paraId="4D4D4B28"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Volledige BA-CVA-benadering</w:t>
            </w:r>
          </w:p>
          <w:p w14:paraId="29492D07"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sz w:val="24"/>
                <w:lang w:val="nl-BE"/>
              </w:rPr>
              <w:t>Eigenvermogensvereisten voor CVA (artikel 92, lid 4, punt e), en deel drie, titel VI van Verordening (EU) nr. 575/2013), berekend overeenkomstig artikel 384, lid 2, van Verordening (EU) nr. 575/2013 voor een instelling die voldoet aan de voorwaarde van artikel 384, lid 1, punt a), van Verordening (EU) nr. 575/2013.</w:t>
            </w:r>
          </w:p>
        </w:tc>
      </w:tr>
      <w:tr w:rsidR="00680687" w:rsidRPr="00C952BB" w14:paraId="5CC39791" w14:textId="77777777" w:rsidTr="006A3ADC">
        <w:tc>
          <w:tcPr>
            <w:tcW w:w="1172" w:type="dxa"/>
          </w:tcPr>
          <w:p w14:paraId="7ED793DD"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0080</w:t>
            </w:r>
          </w:p>
        </w:tc>
        <w:tc>
          <w:tcPr>
            <w:tcW w:w="7844" w:type="dxa"/>
          </w:tcPr>
          <w:p w14:paraId="2F507335"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Notionele waarde van CVA-afdekkingen</w:t>
            </w:r>
          </w:p>
          <w:p w14:paraId="3C607DB7"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Notionele waarde van in aanmerking komende CVA-afdekkingen (brutobedragen) opgenomen overeenkomstig artikel 386 van Verordening (EU) nr. 575/2013.</w:t>
            </w:r>
          </w:p>
        </w:tc>
      </w:tr>
      <w:tr w:rsidR="00680687" w:rsidRPr="00C952BB" w14:paraId="25B5BEC0" w14:textId="77777777" w:rsidTr="006A3ADC">
        <w:tc>
          <w:tcPr>
            <w:tcW w:w="1172" w:type="dxa"/>
          </w:tcPr>
          <w:p w14:paraId="569A7775"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0090</w:t>
            </w:r>
          </w:p>
        </w:tc>
        <w:tc>
          <w:tcPr>
            <w:tcW w:w="7844" w:type="dxa"/>
          </w:tcPr>
          <w:p w14:paraId="7EE59EEA" w14:textId="77777777" w:rsidR="00680687" w:rsidRPr="00C952BB" w:rsidRDefault="00680687" w:rsidP="006A3ADC">
            <w:pPr>
              <w:rPr>
                <w:rFonts w:ascii="Times New Roman" w:hAnsi="Times New Roman"/>
                <w:sz w:val="24"/>
                <w:lang w:val="nl-BE"/>
              </w:rPr>
            </w:pPr>
            <w:r w:rsidRPr="00C952BB">
              <w:rPr>
                <w:rFonts w:ascii="Times New Roman" w:hAnsi="Times New Roman"/>
                <w:b/>
                <w:sz w:val="24"/>
                <w:u w:val="single"/>
                <w:lang w:val="nl-BE"/>
              </w:rPr>
              <w:t>BACVA</w:t>
            </w:r>
            <w:r w:rsidRPr="00C952BB">
              <w:rPr>
                <w:rFonts w:ascii="Times New Roman" w:hAnsi="Times New Roman"/>
                <w:b/>
                <w:sz w:val="24"/>
                <w:vertAlign w:val="superscript"/>
                <w:lang w:val="nl-BE"/>
              </w:rPr>
              <w:t>csr-unhedged</w:t>
            </w:r>
          </w:p>
          <w:p w14:paraId="4A0E67ED"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BACVAcsr-unhedged voor transacties die aan de basisbenadering zijn onderworpen, berekend overeenkomstig artikel 384, lid 3, van Verordening (EU) nr. 575/2013 voor een instelling die voldoet aan de voorwaarde van artikel 384, lid 1, punt a), van Verordening (EU) nr. 575/2013.</w:t>
            </w:r>
          </w:p>
        </w:tc>
      </w:tr>
      <w:tr w:rsidR="00680687" w:rsidRPr="00C952BB" w14:paraId="1E238074" w14:textId="77777777" w:rsidTr="006A3ADC">
        <w:tc>
          <w:tcPr>
            <w:tcW w:w="1172" w:type="dxa"/>
          </w:tcPr>
          <w:p w14:paraId="48638273"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0100</w:t>
            </w:r>
          </w:p>
        </w:tc>
        <w:tc>
          <w:tcPr>
            <w:tcW w:w="7844" w:type="dxa"/>
          </w:tcPr>
          <w:p w14:paraId="2C90402F" w14:textId="77777777" w:rsidR="00680687" w:rsidRPr="00C952BB" w:rsidRDefault="00680687" w:rsidP="006A3ADC">
            <w:pPr>
              <w:rPr>
                <w:rFonts w:ascii="Times New Roman" w:hAnsi="Times New Roman"/>
                <w:b/>
                <w:sz w:val="24"/>
                <w:vertAlign w:val="superscript"/>
                <w:lang w:val="nl-BE"/>
              </w:rPr>
            </w:pPr>
            <w:r w:rsidRPr="00C952BB">
              <w:rPr>
                <w:rFonts w:ascii="Times New Roman" w:hAnsi="Times New Roman"/>
                <w:b/>
                <w:sz w:val="24"/>
                <w:u w:val="single"/>
                <w:lang w:val="nl-BE"/>
              </w:rPr>
              <w:t>BACVA</w:t>
            </w:r>
            <w:r w:rsidRPr="00C952BB">
              <w:rPr>
                <w:rFonts w:ascii="Times New Roman" w:hAnsi="Times New Roman"/>
                <w:b/>
                <w:sz w:val="24"/>
                <w:vertAlign w:val="superscript"/>
                <w:lang w:val="nl-BE"/>
              </w:rPr>
              <w:t>csr-hedged</w:t>
            </w:r>
          </w:p>
          <w:p w14:paraId="34FB0CB6"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 xml:space="preserve">BACVAcsr-hedged voor transacties die aan de basisbenadering zijn onderworpen, berekend overeenkomstig artikel 384, lid 2, van Verordening (EU) nr. 575/2013 voor een instelling die voldoet aan de voorwaarde van artikel 384, lid 1, punt a), van Verordening (EU) nr. 575/2013. </w:t>
            </w:r>
          </w:p>
        </w:tc>
      </w:tr>
      <w:tr w:rsidR="00680687" w:rsidRPr="00C952BB" w14:paraId="00FE8EDC" w14:textId="77777777" w:rsidTr="006A3ADC">
        <w:tc>
          <w:tcPr>
            <w:tcW w:w="1172" w:type="dxa"/>
          </w:tcPr>
          <w:p w14:paraId="5303AFEA"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0110</w:t>
            </w:r>
          </w:p>
        </w:tc>
        <w:tc>
          <w:tcPr>
            <w:tcW w:w="7844" w:type="dxa"/>
          </w:tcPr>
          <w:p w14:paraId="4F8092A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Eigenvermogensvereisten</w:t>
            </w:r>
          </w:p>
          <w:p w14:paraId="1287DB8E"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Totale eigenvermogensvereisten voor transacties die aan de volledige basisbenadering zijn onderworpen, berekend overeenkomstig artikel 384, lid 2, van Verordening (EU) nr. 575/2013 voor een instelling die voldoet aan de voorwaarde van artikel 384, lid 1, punt a), van Verordening (EU) nr. 575/2013.</w:t>
            </w:r>
          </w:p>
        </w:tc>
      </w:tr>
      <w:tr w:rsidR="00680687" w:rsidRPr="00C952BB" w14:paraId="4D9D19AA" w14:textId="77777777" w:rsidTr="006A3ADC">
        <w:tc>
          <w:tcPr>
            <w:tcW w:w="1172" w:type="dxa"/>
          </w:tcPr>
          <w:p w14:paraId="40BB5135"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0120-0270</w:t>
            </w:r>
          </w:p>
        </w:tc>
        <w:tc>
          <w:tcPr>
            <w:tcW w:w="7844" w:type="dxa"/>
          </w:tcPr>
          <w:p w14:paraId="6D273C70"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SA-CVA-benadering</w:t>
            </w:r>
          </w:p>
          <w:p w14:paraId="1546865B"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Eigenvermogensvereisten voor CVA (artikel 92, lid 4, punt e), en deel drie, titel VI van Verordening (EU) nr. 575/2013), berekend overeenkomstig artikel 383 van Verordening (EU) nr. 575/2013 voor een instelling die voldoet aan de voorwaarde van artikel 382 bis, lid 1, punt a), van Verordening (EU) nr. 575/2013.</w:t>
            </w:r>
          </w:p>
        </w:tc>
      </w:tr>
      <w:tr w:rsidR="00680687" w:rsidRPr="00C952BB" w14:paraId="25255F9B" w14:textId="77777777" w:rsidTr="006A3ADC">
        <w:tc>
          <w:tcPr>
            <w:tcW w:w="1172" w:type="dxa"/>
          </w:tcPr>
          <w:p w14:paraId="1EEE68F9"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0120</w:t>
            </w:r>
          </w:p>
        </w:tc>
        <w:tc>
          <w:tcPr>
            <w:tcW w:w="7844" w:type="dxa"/>
          </w:tcPr>
          <w:p w14:paraId="3B3DE69C"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Notionele waarde van CVA-afdekkingen</w:t>
            </w:r>
          </w:p>
          <w:p w14:paraId="50C4B375"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lastRenderedPageBreak/>
              <w:t>Notionele waarde van in aanmerking komende CVA-afdekkingen opgenomen overeenkomstig artikel 386 van Verordening (EU) nr. 575/2013.</w:t>
            </w:r>
          </w:p>
        </w:tc>
      </w:tr>
      <w:tr w:rsidR="00680687" w:rsidRPr="00C952BB" w14:paraId="6842E160" w14:textId="77777777" w:rsidTr="006A3ADC">
        <w:tc>
          <w:tcPr>
            <w:tcW w:w="1172" w:type="dxa"/>
          </w:tcPr>
          <w:p w14:paraId="25D17774"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lastRenderedPageBreak/>
              <w:t>0130</w:t>
            </w:r>
          </w:p>
        </w:tc>
        <w:tc>
          <w:tcPr>
            <w:tcW w:w="7844" w:type="dxa"/>
          </w:tcPr>
          <w:p w14:paraId="6FE0752E"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Aantal tegenpartijen</w:t>
            </w:r>
          </w:p>
          <w:p w14:paraId="10FC4FF6"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445 bis, lid 1, punt c), van Verordening (EU) nr. 575/2013</w:t>
            </w:r>
          </w:p>
          <w:p w14:paraId="3A9459B9"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Aantal tegenpartijen in de zin van artikel 383, lid 1, van Verordening (EU) nr. 575/2013, opgenomen in de berekening van eigen vermogen voor SA-CVA-risico. Het totale aantal wordt gerapporteerd in rij 0010 en de opsplitsing per type tegenpartij in de rijen 0170-0220.</w:t>
            </w:r>
          </w:p>
        </w:tc>
      </w:tr>
      <w:tr w:rsidR="00680687" w:rsidRPr="00C952BB" w14:paraId="03E5B4A8" w14:textId="77777777" w:rsidTr="006A3ADC">
        <w:tc>
          <w:tcPr>
            <w:tcW w:w="1172" w:type="dxa"/>
          </w:tcPr>
          <w:p w14:paraId="68CD118A"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0140-0250</w:t>
            </w:r>
          </w:p>
        </w:tc>
        <w:tc>
          <w:tcPr>
            <w:tcW w:w="7844" w:type="dxa"/>
          </w:tcPr>
          <w:p w14:paraId="1E26CA07"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netting sets in het kader van de SA-CVA-benadering</w:t>
            </w:r>
          </w:p>
          <w:p w14:paraId="512141CA" w14:textId="72FCFDDA"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Eigenvermogenvereisten voor SA-CVA-risico overeenkomstig artikel 383 van Verordening (EU) nr. 575/2013, met inbegrip van een uitsplitsing naar risicoklasse als bepaald in artikel 383, lid 2, punt 1), en voor elk van de risicoklassen de eigenvermogenvereisten voor delta- en vegarisico, als bepaald in artikel 383, lid 3, en in overeenstemming met artikel 383 ter van Verordening (EU) nr. 575/2013.</w:t>
            </w:r>
          </w:p>
        </w:tc>
      </w:tr>
      <w:tr w:rsidR="00680687" w:rsidRPr="00C952BB" w14:paraId="1BC8EFF8" w14:textId="77777777" w:rsidTr="006A3ADC">
        <w:tc>
          <w:tcPr>
            <w:tcW w:w="1172" w:type="dxa"/>
          </w:tcPr>
          <w:p w14:paraId="1E505571"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0140-0150</w:t>
            </w:r>
          </w:p>
        </w:tc>
        <w:tc>
          <w:tcPr>
            <w:tcW w:w="7844" w:type="dxa"/>
          </w:tcPr>
          <w:p w14:paraId="0AEAA3AD"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het renterisico</w:t>
            </w:r>
          </w:p>
          <w:p w14:paraId="6695CC3B" w14:textId="01E1C8B9"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quater, 383 decies, 383 undecies, 383 duodecies, 383 terdecies en 383 quaterdecies van Verordening (EU) nr. 575/2013.</w:t>
            </w:r>
          </w:p>
        </w:tc>
      </w:tr>
      <w:tr w:rsidR="00680687" w:rsidRPr="00C952BB" w14:paraId="728092B0" w14:textId="77777777" w:rsidTr="006A3ADC">
        <w:tc>
          <w:tcPr>
            <w:tcW w:w="1172" w:type="dxa"/>
          </w:tcPr>
          <w:p w14:paraId="06AAAC3A"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0160-0170</w:t>
            </w:r>
          </w:p>
        </w:tc>
        <w:tc>
          <w:tcPr>
            <w:tcW w:w="7844" w:type="dxa"/>
          </w:tcPr>
          <w:p w14:paraId="5C9DEA36"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het valutarisico</w:t>
            </w:r>
          </w:p>
          <w:p w14:paraId="312EFBD9" w14:textId="6EA3814A"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quinquies, 383 decies, 383 undecies, 383 quindecies en 383 sexdecies van Verordening (EU) nr. 575/2013.</w:t>
            </w:r>
          </w:p>
        </w:tc>
      </w:tr>
      <w:tr w:rsidR="00680687" w:rsidRPr="00C952BB" w14:paraId="2A26F3BC" w14:textId="77777777" w:rsidTr="006A3ADC">
        <w:tc>
          <w:tcPr>
            <w:tcW w:w="1172" w:type="dxa"/>
          </w:tcPr>
          <w:p w14:paraId="4988687E"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0180-0190</w:t>
            </w:r>
          </w:p>
        </w:tc>
        <w:tc>
          <w:tcPr>
            <w:tcW w:w="7844" w:type="dxa"/>
          </w:tcPr>
          <w:p w14:paraId="111D7BAC"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creditspreadrisico van de tegenpartij</w:t>
            </w:r>
          </w:p>
          <w:p w14:paraId="331E3D6B" w14:textId="1A5FCDC3"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sexies, 383 decies, 383 undecies, 383 duodecies, 383 octodecies en 383 novodecies van Verordening (EU) nr. 575/2013.</w:t>
            </w:r>
          </w:p>
        </w:tc>
      </w:tr>
      <w:tr w:rsidR="00680687" w:rsidRPr="00C952BB" w14:paraId="589DE234" w14:textId="77777777" w:rsidTr="006A3ADC">
        <w:tc>
          <w:tcPr>
            <w:tcW w:w="1172" w:type="dxa"/>
          </w:tcPr>
          <w:p w14:paraId="3361402D"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0200-0210</w:t>
            </w:r>
          </w:p>
        </w:tc>
        <w:tc>
          <w:tcPr>
            <w:tcW w:w="7844" w:type="dxa"/>
          </w:tcPr>
          <w:p w14:paraId="34E7BFC3"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referentiecreditspreadrisico</w:t>
            </w:r>
          </w:p>
          <w:p w14:paraId="39B46545" w14:textId="148AEA7F"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septies, 383 decies, 383 undecies, 383 vicies en 383 duovicies van Verordening (EU) nr. 575/2013.</w:t>
            </w:r>
          </w:p>
        </w:tc>
      </w:tr>
      <w:tr w:rsidR="00680687" w:rsidRPr="00C952BB" w14:paraId="0AA17295" w14:textId="77777777" w:rsidTr="006A3ADC">
        <w:tc>
          <w:tcPr>
            <w:tcW w:w="1172" w:type="dxa"/>
          </w:tcPr>
          <w:p w14:paraId="3BFBD27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0220-0230</w:t>
            </w:r>
          </w:p>
        </w:tc>
        <w:tc>
          <w:tcPr>
            <w:tcW w:w="7844" w:type="dxa"/>
          </w:tcPr>
          <w:p w14:paraId="46C4DB98"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het aandelenrisico</w:t>
            </w:r>
          </w:p>
          <w:p w14:paraId="092925F2" w14:textId="74EFD749" w:rsidR="00680687" w:rsidRPr="00C952BB"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octies, 383 decies, 383 undecies, 383 tervicies en 383 quatervicies van Verordening (EU) nr. 575/2013.</w:t>
            </w:r>
          </w:p>
        </w:tc>
      </w:tr>
      <w:tr w:rsidR="00680687" w:rsidRPr="00C952BB" w14:paraId="63100E64" w14:textId="77777777" w:rsidTr="006A3ADC">
        <w:tc>
          <w:tcPr>
            <w:tcW w:w="1172" w:type="dxa"/>
          </w:tcPr>
          <w:p w14:paraId="6EB58469"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0240-0250</w:t>
            </w:r>
          </w:p>
        </w:tc>
        <w:tc>
          <w:tcPr>
            <w:tcW w:w="7844" w:type="dxa"/>
          </w:tcPr>
          <w:p w14:paraId="44A59885"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sz w:val="24"/>
                <w:u w:val="single"/>
                <w:lang w:val="nl-BE"/>
              </w:rPr>
              <w:t>Eigenvermogensvereisten voor het grondstoffenrisico</w:t>
            </w:r>
          </w:p>
          <w:p w14:paraId="1FD90135" w14:textId="4A1B5A40"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De artikelen 383 nonies, 383 decies, 383 undecies, 383 quinvicies en 383 sexvicies van Verordening (EU) nr. 575/2013.</w:t>
            </w:r>
          </w:p>
        </w:tc>
      </w:tr>
      <w:tr w:rsidR="00680687" w:rsidRPr="00C952BB" w14:paraId="6E2BE277" w14:textId="77777777" w:rsidTr="006A3ADC">
        <w:tc>
          <w:tcPr>
            <w:tcW w:w="1172" w:type="dxa"/>
          </w:tcPr>
          <w:p w14:paraId="7A04FEBF"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0260</w:t>
            </w:r>
          </w:p>
        </w:tc>
        <w:tc>
          <w:tcPr>
            <w:tcW w:w="7844" w:type="dxa"/>
          </w:tcPr>
          <w:p w14:paraId="2CADDF39"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b/>
                <w:i/>
                <w:sz w:val="24"/>
                <w:u w:val="single"/>
                <w:vertAlign w:val="superscript"/>
                <w:lang w:val="nl-BE"/>
              </w:rPr>
              <w:t>m</w:t>
            </w:r>
            <w:r w:rsidRPr="00C952BB">
              <w:rPr>
                <w:rFonts w:ascii="Times New Roman" w:hAnsi="Times New Roman"/>
                <w:b/>
                <w:sz w:val="24"/>
                <w:u w:val="single"/>
                <w:lang w:val="nl-BE"/>
              </w:rPr>
              <w:t>CVA</w:t>
            </w:r>
          </w:p>
          <w:p w14:paraId="25594EAC"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 xml:space="preserve">Waarde van de </w:t>
            </w:r>
            <w:r w:rsidRPr="00C952BB">
              <w:rPr>
                <w:rFonts w:ascii="Cambria Math" w:hAnsi="Cambria Math"/>
                <w:sz w:val="24"/>
                <w:lang w:val="nl-BE"/>
              </w:rPr>
              <w:t>𝑚𝐶𝑉𝐴</w:t>
            </w:r>
            <w:r w:rsidRPr="00C952BB">
              <w:rPr>
                <w:rFonts w:ascii="Times New Roman" w:hAnsi="Times New Roman"/>
                <w:sz w:val="24"/>
                <w:lang w:val="nl-BE"/>
              </w:rPr>
              <w:t xml:space="preserve"> vermenigvuldigingsfactor overeenkomstig artikel 383 ter, lid 8, van Verordening (EU) nr. 575/2013. De in de berekening van de </w:t>
            </w:r>
            <w:r w:rsidRPr="00C952BB">
              <w:rPr>
                <w:rFonts w:ascii="Times New Roman" w:hAnsi="Times New Roman"/>
                <w:sz w:val="24"/>
                <w:lang w:val="nl-BE"/>
              </w:rPr>
              <w:lastRenderedPageBreak/>
              <w:t>eigenvermogensvereisten gebruikte waarde wordt gerapporteerd (waarde gelijk aan 1 of waarde verhoogd door de bevoegde autoriteit).</w:t>
            </w:r>
          </w:p>
        </w:tc>
      </w:tr>
      <w:tr w:rsidR="00680687" w:rsidRPr="00C952BB" w14:paraId="0FFB4692" w14:textId="77777777" w:rsidTr="006A3ADC">
        <w:tc>
          <w:tcPr>
            <w:tcW w:w="1172" w:type="dxa"/>
          </w:tcPr>
          <w:p w14:paraId="249BE219"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lastRenderedPageBreak/>
              <w:t>0270</w:t>
            </w:r>
          </w:p>
        </w:tc>
        <w:tc>
          <w:tcPr>
            <w:tcW w:w="7844" w:type="dxa"/>
          </w:tcPr>
          <w:p w14:paraId="0B3D9E18"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Eigenvermogensvereisten</w:t>
            </w:r>
          </w:p>
          <w:p w14:paraId="55E6BD5C"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Eigenvermogensvereisten voor transacties die zijn onderworpen aan de SA-CVA berekend overeenkomstig artikel 383 van Verordening (EU) nr. 575/2013.</w:t>
            </w:r>
          </w:p>
        </w:tc>
      </w:tr>
      <w:tr w:rsidR="00680687" w:rsidRPr="00C952BB" w14:paraId="0F30E639" w14:textId="77777777" w:rsidTr="006A3ADC">
        <w:tc>
          <w:tcPr>
            <w:tcW w:w="1172" w:type="dxa"/>
          </w:tcPr>
          <w:p w14:paraId="35CF01D7"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0280</w:t>
            </w:r>
          </w:p>
        </w:tc>
        <w:tc>
          <w:tcPr>
            <w:tcW w:w="7844" w:type="dxa"/>
          </w:tcPr>
          <w:p w14:paraId="618674CA"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TOTAAL EIGENVERMOGENSVEREISTEN</w:t>
            </w:r>
          </w:p>
          <w:p w14:paraId="7E3B417F" w14:textId="166217C7" w:rsidR="00680687" w:rsidRPr="00C952BB" w:rsidRDefault="00680687" w:rsidP="006A3ADC">
            <w:pPr>
              <w:rPr>
                <w:rFonts w:ascii="Times New Roman" w:hAnsi="Times New Roman"/>
                <w:sz w:val="24"/>
                <w:lang w:val="nl-BE"/>
              </w:rPr>
            </w:pPr>
            <w:r w:rsidRPr="00C952BB">
              <w:rPr>
                <w:rFonts w:ascii="Times New Roman" w:hAnsi="Times New Roman"/>
                <w:sz w:val="24"/>
                <w:lang w:val="nl-BE"/>
              </w:rPr>
              <w:t xml:space="preserve">Artikel 92, lid 4, punt e), van Verordening (EU) nr. 575/2013 </w:t>
            </w:r>
          </w:p>
          <w:p w14:paraId="424C965B" w14:textId="77777777" w:rsidR="00680687" w:rsidRPr="00C952BB" w:rsidDel="00024DEA" w:rsidRDefault="00680687" w:rsidP="006A3ADC">
            <w:pPr>
              <w:rPr>
                <w:rFonts w:ascii="Times New Roman" w:hAnsi="Times New Roman"/>
                <w:b/>
                <w:sz w:val="24"/>
                <w:u w:val="single"/>
                <w:lang w:val="nl-BE"/>
              </w:rPr>
            </w:pPr>
            <w:r w:rsidRPr="00C952BB">
              <w:rPr>
                <w:rFonts w:ascii="Times New Roman" w:hAnsi="Times New Roman"/>
                <w:sz w:val="24"/>
                <w:lang w:val="nl-BE"/>
              </w:rPr>
              <w:t>Totaal eigenvermogensvereisten voor CVA-risico berekend volgens een van de toepasselijke benaderingen bedoeld in artikel 382 bis van Verordening (EU) nr. 575/2013.  Als meer dan één benadering wordt gehanteerd, wordt de eenvoudige som van alle eigenvermogensvereisten van elke aanpak gerapporteerd.</w:t>
            </w:r>
          </w:p>
        </w:tc>
      </w:tr>
      <w:tr w:rsidR="00680687" w:rsidRPr="00C952BB" w14:paraId="460901D5" w14:textId="77777777" w:rsidTr="006A3ADC">
        <w:tc>
          <w:tcPr>
            <w:tcW w:w="1172" w:type="dxa"/>
          </w:tcPr>
          <w:p w14:paraId="61FCBEEB" w14:textId="77777777" w:rsidR="00680687" w:rsidRPr="00C952BB" w:rsidDel="00024DEA" w:rsidRDefault="00680687" w:rsidP="006A3ADC">
            <w:pPr>
              <w:rPr>
                <w:rFonts w:ascii="Times New Roman" w:hAnsi="Times New Roman"/>
                <w:sz w:val="24"/>
                <w:lang w:val="nl-BE"/>
              </w:rPr>
            </w:pPr>
            <w:r w:rsidRPr="00C952BB">
              <w:rPr>
                <w:rFonts w:ascii="Times New Roman" w:hAnsi="Times New Roman"/>
                <w:sz w:val="24"/>
                <w:lang w:val="nl-BE"/>
              </w:rPr>
              <w:t>0290</w:t>
            </w:r>
          </w:p>
        </w:tc>
        <w:tc>
          <w:tcPr>
            <w:tcW w:w="7844" w:type="dxa"/>
          </w:tcPr>
          <w:p w14:paraId="38352FA3"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TOTAAL RISICOPOSTEN</w:t>
            </w:r>
          </w:p>
          <w:p w14:paraId="6B715A2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92, lid 6, van Verordening (EU) nr. 575/2013</w:t>
            </w:r>
          </w:p>
          <w:p w14:paraId="769B7CA0" w14:textId="77777777" w:rsidR="00680687" w:rsidRPr="00C952BB" w:rsidDel="00024DEA" w:rsidRDefault="00680687" w:rsidP="006A3ADC">
            <w:pPr>
              <w:rPr>
                <w:rFonts w:ascii="Times New Roman" w:hAnsi="Times New Roman"/>
                <w:bCs/>
                <w:sz w:val="24"/>
                <w:lang w:val="nl-BE"/>
              </w:rPr>
            </w:pPr>
            <w:r w:rsidRPr="00C952BB">
              <w:rPr>
                <w:rFonts w:ascii="Times New Roman" w:hAnsi="Times New Roman"/>
                <w:sz w:val="24"/>
                <w:lang w:val="nl-BE"/>
              </w:rPr>
              <w:t>Eigenvermogensvereisten vermenigvuldigd met 12,5.</w:t>
            </w:r>
          </w:p>
        </w:tc>
      </w:tr>
      <w:tr w:rsidR="00680687" w:rsidRPr="00C952BB" w14:paraId="00C49743" w14:textId="77777777" w:rsidTr="006A3ADC">
        <w:tc>
          <w:tcPr>
            <w:tcW w:w="9016" w:type="dxa"/>
            <w:gridSpan w:val="2"/>
            <w:tcBorders>
              <w:left w:val="nil"/>
              <w:right w:val="nil"/>
            </w:tcBorders>
            <w:shd w:val="clear" w:color="auto" w:fill="auto"/>
          </w:tcPr>
          <w:p w14:paraId="62981E05" w14:textId="77777777" w:rsidR="00680687" w:rsidRPr="00C952BB" w:rsidRDefault="00680687" w:rsidP="006A3ADC">
            <w:pPr>
              <w:rPr>
                <w:rFonts w:ascii="Times New Roman" w:hAnsi="Times New Roman"/>
                <w:b/>
                <w:sz w:val="24"/>
                <w:lang w:val="nl-BE"/>
              </w:rPr>
            </w:pPr>
          </w:p>
        </w:tc>
      </w:tr>
      <w:tr w:rsidR="00680687" w:rsidRPr="00C952BB" w14:paraId="39581B57" w14:textId="77777777" w:rsidTr="006A3ADC">
        <w:tc>
          <w:tcPr>
            <w:tcW w:w="9016" w:type="dxa"/>
            <w:gridSpan w:val="2"/>
            <w:shd w:val="clear" w:color="auto" w:fill="CCCCCC"/>
          </w:tcPr>
          <w:p w14:paraId="10EB98F8" w14:textId="77777777" w:rsidR="00680687" w:rsidRPr="00C952BB" w:rsidRDefault="00680687" w:rsidP="006A3ADC">
            <w:pPr>
              <w:rPr>
                <w:rFonts w:ascii="Times New Roman" w:hAnsi="Times New Roman"/>
                <w:b/>
                <w:sz w:val="24"/>
                <w:lang w:val="nl-BE"/>
              </w:rPr>
            </w:pPr>
            <w:r w:rsidRPr="00C952BB">
              <w:rPr>
                <w:rFonts w:ascii="Times New Roman" w:hAnsi="Times New Roman"/>
                <w:b/>
                <w:sz w:val="24"/>
                <w:lang w:val="nl-BE"/>
              </w:rPr>
              <w:t>Rijen</w:t>
            </w:r>
          </w:p>
        </w:tc>
      </w:tr>
      <w:tr w:rsidR="00680687" w:rsidRPr="00C952BB" w14:paraId="7CF1BC60" w14:textId="77777777" w:rsidTr="006A3ADC">
        <w:tc>
          <w:tcPr>
            <w:tcW w:w="1172" w:type="dxa"/>
          </w:tcPr>
          <w:p w14:paraId="041DB542"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0010</w:t>
            </w:r>
          </w:p>
        </w:tc>
        <w:tc>
          <w:tcPr>
            <w:tcW w:w="7844" w:type="dxa"/>
          </w:tcPr>
          <w:p w14:paraId="02BF5C47"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Transacties onder het eigenvermogensvereiste voor CVA-risico</w:t>
            </w:r>
          </w:p>
          <w:p w14:paraId="0243C539"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382 van Verordening (EU) nr. 575/2013</w:t>
            </w:r>
          </w:p>
        </w:tc>
      </w:tr>
      <w:tr w:rsidR="00680687" w:rsidRPr="00C952BB" w14:paraId="25F63C9E" w14:textId="77777777" w:rsidTr="006A3ADC">
        <w:tc>
          <w:tcPr>
            <w:tcW w:w="1172" w:type="dxa"/>
          </w:tcPr>
          <w:p w14:paraId="60D4A734"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0020</w:t>
            </w:r>
          </w:p>
        </w:tc>
        <w:tc>
          <w:tcPr>
            <w:tcW w:w="7844" w:type="dxa"/>
          </w:tcPr>
          <w:p w14:paraId="591F63A9"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Waarvan: alleen derivaten</w:t>
            </w:r>
          </w:p>
          <w:p w14:paraId="243F2835"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Derivaten die onder artikel 382 van Verordening (EU) nr. 575/2013 vallen (d.w.z. alle in rij 0010 gerapporteerde transacties, exclusief effectenfinancieringstransacties).</w:t>
            </w:r>
          </w:p>
        </w:tc>
      </w:tr>
      <w:tr w:rsidR="00680687" w:rsidRPr="00C952BB" w14:paraId="24634A77" w14:textId="77777777" w:rsidTr="006A3ADC">
        <w:tc>
          <w:tcPr>
            <w:tcW w:w="1172" w:type="dxa"/>
          </w:tcPr>
          <w:p w14:paraId="7280383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0030</w:t>
            </w:r>
          </w:p>
        </w:tc>
        <w:tc>
          <w:tcPr>
            <w:tcW w:w="7844" w:type="dxa"/>
          </w:tcPr>
          <w:p w14:paraId="3BF86B85"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Waarvan:  anderszins uitgesloten transacties die instellingen opnieuw opnemen in de berekening van het eigen vermogen</w:t>
            </w:r>
          </w:p>
          <w:p w14:paraId="44419E5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382, lid 4 bis, van Verordening (EU) nr. 575/2013.</w:t>
            </w:r>
          </w:p>
        </w:tc>
      </w:tr>
      <w:tr w:rsidR="00680687" w:rsidRPr="00C952BB" w14:paraId="2AF23E14" w14:textId="77777777" w:rsidTr="006A3ADC">
        <w:tc>
          <w:tcPr>
            <w:tcW w:w="1172" w:type="dxa"/>
          </w:tcPr>
          <w:p w14:paraId="102C842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0040-0220</w:t>
            </w:r>
          </w:p>
        </w:tc>
        <w:tc>
          <w:tcPr>
            <w:tcW w:w="7844" w:type="dxa"/>
          </w:tcPr>
          <w:p w14:paraId="16D7C775" w14:textId="77777777" w:rsidR="00680687" w:rsidRPr="00C952BB" w:rsidRDefault="00680687" w:rsidP="006A3ADC">
            <w:pPr>
              <w:rPr>
                <w:rFonts w:ascii="Times New Roman" w:hAnsi="Times New Roman"/>
                <w:b/>
                <w:bCs/>
                <w:caps/>
                <w:sz w:val="24"/>
                <w:u w:val="single"/>
                <w:lang w:val="nl-BE"/>
              </w:rPr>
            </w:pPr>
            <w:r w:rsidRPr="00C952BB">
              <w:rPr>
                <w:rFonts w:ascii="Times New Roman" w:hAnsi="Times New Roman"/>
                <w:b/>
                <w:caps/>
                <w:sz w:val="24"/>
                <w:u w:val="single"/>
                <w:lang w:val="nl-BE"/>
              </w:rPr>
              <w:t>PRO-MEMORIEPOSTEN</w:t>
            </w:r>
          </w:p>
          <w:p w14:paraId="6F0B98CF" w14:textId="77777777" w:rsidR="00680687" w:rsidRPr="00C952BB" w:rsidRDefault="00680687" w:rsidP="006A3ADC">
            <w:pPr>
              <w:rPr>
                <w:rFonts w:ascii="Times New Roman" w:hAnsi="Times New Roman"/>
                <w:sz w:val="24"/>
                <w:lang w:val="nl-BE"/>
              </w:rPr>
            </w:pPr>
          </w:p>
        </w:tc>
      </w:tr>
      <w:tr w:rsidR="00680687" w:rsidRPr="00C952BB" w14:paraId="6AD4731B" w14:textId="77777777" w:rsidTr="006A3ADC">
        <w:tc>
          <w:tcPr>
            <w:tcW w:w="1172" w:type="dxa"/>
          </w:tcPr>
          <w:p w14:paraId="2A4448ED"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0040-0110</w:t>
            </w:r>
          </w:p>
        </w:tc>
        <w:tc>
          <w:tcPr>
            <w:tcW w:w="7844" w:type="dxa"/>
          </w:tcPr>
          <w:p w14:paraId="18AE86C3"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CVA-uitsluitingen: marginale impact van opnieuw opnemen</w:t>
            </w:r>
          </w:p>
          <w:p w14:paraId="7A74B86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 xml:space="preserve">Marginale impact van opnieuw opnemen van CVA-uitsluitingen als bedoeld in artikel 382, leden 3 en 4, van Verordening (EU) nr. 575/2013, afzonderlijk voor elke uitsluiting. De marginale impact is het verschil, uitgedrukt in absolute waarde, tussen de relevante maatstaf voor het geheel van transacties bedoeld in rij 0010 na het opnieuw opnemen van de uitsluiting, en de relevante maatstaf voor het geheel van transacties bedoeld in rij 0010. </w:t>
            </w:r>
            <w:r w:rsidRPr="00C952BB">
              <w:rPr>
                <w:lang w:val="nl-BE"/>
              </w:rPr>
              <w:t xml:space="preserve"> </w:t>
            </w:r>
          </w:p>
        </w:tc>
      </w:tr>
      <w:tr w:rsidR="00680687" w:rsidRPr="00C952BB" w14:paraId="4ED84249" w14:textId="77777777" w:rsidTr="006A3ADC">
        <w:tc>
          <w:tcPr>
            <w:tcW w:w="1172" w:type="dxa"/>
          </w:tcPr>
          <w:p w14:paraId="7350CB84"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0040</w:t>
            </w:r>
          </w:p>
        </w:tc>
        <w:tc>
          <w:tcPr>
            <w:tcW w:w="7844" w:type="dxa"/>
          </w:tcPr>
          <w:p w14:paraId="7D9C78C4"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Alle uitgesloten transacties</w:t>
            </w:r>
          </w:p>
          <w:p w14:paraId="76D1F41B" w14:textId="77777777" w:rsidR="00680687" w:rsidRPr="00C952BB" w:rsidRDefault="00680687" w:rsidP="006A3ADC">
            <w:pPr>
              <w:pStyle w:val="Default"/>
              <w:jc w:val="both"/>
              <w:rPr>
                <w:sz w:val="20"/>
                <w:szCs w:val="20"/>
                <w:lang w:val="nl-BE"/>
              </w:rPr>
            </w:pPr>
            <w:r w:rsidRPr="00C952BB">
              <w:rPr>
                <w:rFonts w:ascii="Times New Roman" w:hAnsi="Times New Roman"/>
                <w:lang w:val="nl-BE"/>
              </w:rPr>
              <w:lastRenderedPageBreak/>
              <w:t xml:space="preserve">Marginale impact van opnieuw opnemen van CVA-uitsluitingen als bedoeld in artikel 382, leden 3 en 4, van Verordening (EU) nr. 575/2013. </w:t>
            </w:r>
          </w:p>
          <w:p w14:paraId="6F8EA837" w14:textId="77777777" w:rsidR="00680687" w:rsidRPr="00C952BB" w:rsidRDefault="00680687" w:rsidP="006A3ADC">
            <w:pPr>
              <w:pStyle w:val="Default"/>
              <w:rPr>
                <w:rFonts w:ascii="Times New Roman" w:hAnsi="Times New Roman"/>
                <w:lang w:val="nl-BE"/>
              </w:rPr>
            </w:pPr>
            <w:r w:rsidRPr="00C952BB">
              <w:rPr>
                <w:rFonts w:ascii="Times New Roman" w:hAnsi="Times New Roman"/>
                <w:lang w:val="nl-BE"/>
              </w:rPr>
              <w:t>De transacties moeten alle transacties bestrijken die worden gerapporteerd in rij 0010, zonder rekening te houden met de uitsluitingen vermeld in artikel 382, leden 3 en 4 van Verordening (EU) nr. 575/2013.</w:t>
            </w:r>
            <w:r w:rsidRPr="00C952BB">
              <w:rPr>
                <w:rFonts w:ascii="Times New Roman" w:hAnsi="Times New Roman"/>
                <w:color w:val="auto"/>
                <w:lang w:val="nl-BE"/>
              </w:rPr>
              <w:t xml:space="preserve"> Met name de hierboven aangehaalde transacties die momenteel zijn uitgesloten van de berekening van de CVA-kapitaalvereisten op grond van deze artikelen, moeten wat deze rij betreft opnieuw worden opgenomen. Wat deze rij betreft houdt het totaal van alle opnieuw opgenomen transacties alle transacties in die ten behoeve van de rijen 0050 tot en met 0110 opnieuw zijn opgenomen. </w:t>
            </w:r>
          </w:p>
        </w:tc>
      </w:tr>
      <w:tr w:rsidR="00680687" w:rsidRPr="00C952BB" w14:paraId="23ECB2C1" w14:textId="77777777" w:rsidTr="006A3ADC">
        <w:tc>
          <w:tcPr>
            <w:tcW w:w="1172" w:type="dxa"/>
          </w:tcPr>
          <w:p w14:paraId="5973D18B"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lastRenderedPageBreak/>
              <w:t>0050</w:t>
            </w:r>
          </w:p>
        </w:tc>
        <w:tc>
          <w:tcPr>
            <w:tcW w:w="7844" w:type="dxa"/>
          </w:tcPr>
          <w:p w14:paraId="4B3AB855" w14:textId="77777777" w:rsidR="00680687" w:rsidRPr="00C952BB" w:rsidRDefault="00680687" w:rsidP="006A3ADC">
            <w:pPr>
              <w:pStyle w:val="Default"/>
              <w:jc w:val="both"/>
              <w:rPr>
                <w:rFonts w:ascii="Times New Roman" w:eastAsia="Times New Roman" w:hAnsi="Times New Roman" w:cs="Times New Roman"/>
                <w:b/>
                <w:bCs/>
                <w:color w:val="auto"/>
                <w:u w:val="single"/>
                <w:lang w:val="nl-BE"/>
              </w:rPr>
            </w:pPr>
            <w:r w:rsidRPr="00C952BB">
              <w:rPr>
                <w:rFonts w:ascii="Times New Roman" w:hAnsi="Times New Roman"/>
                <w:b/>
                <w:color w:val="auto"/>
                <w:u w:val="single"/>
                <w:lang w:val="nl-BE"/>
              </w:rPr>
              <w:t>Transacties van een cliënt</w:t>
            </w:r>
          </w:p>
          <w:p w14:paraId="26BE71DE" w14:textId="77777777" w:rsidR="00680687" w:rsidRPr="00C952BB" w:rsidRDefault="00680687" w:rsidP="006A3ADC">
            <w:pPr>
              <w:pStyle w:val="Default"/>
              <w:jc w:val="both"/>
              <w:rPr>
                <w:rFonts w:ascii="Times New Roman" w:hAnsi="Times New Roman"/>
                <w:lang w:val="nl-BE"/>
              </w:rPr>
            </w:pPr>
            <w:r w:rsidRPr="00C952BB">
              <w:rPr>
                <w:rFonts w:ascii="Times New Roman" w:hAnsi="Times New Roman"/>
                <w:lang w:val="nl-BE"/>
              </w:rPr>
              <w:t>Marginale impact van opnieuw opnemen van transacties van een cliënt als bedoeld in artikel 382, lid 3, van Verordening (EU) nr. 575/2013.</w:t>
            </w:r>
          </w:p>
          <w:p w14:paraId="73231515" w14:textId="77777777" w:rsidR="00680687" w:rsidRPr="00C952BB" w:rsidRDefault="00680687" w:rsidP="006A3ADC">
            <w:pPr>
              <w:pStyle w:val="Default"/>
              <w:rPr>
                <w:sz w:val="20"/>
                <w:szCs w:val="20"/>
                <w:lang w:val="nl-BE"/>
              </w:rPr>
            </w:pPr>
            <w:r w:rsidRPr="00C952BB">
              <w:rPr>
                <w:rFonts w:ascii="Times New Roman" w:hAnsi="Times New Roman"/>
                <w:lang w:val="nl-BE"/>
              </w:rPr>
              <w:t xml:space="preserve">Marginale impact van opnieuw opnemen van transacties tussen een cliënt en een clearinglid, indien het clearinglid optreedt als tussenpersoon tussen de cliënt en een gekwalificeerde centrale tegenpartij, die overeenkomstig artikel 382, lid 3, van Verordening (EU) nr. 575/2013 zijn uitgesloten van de werkingssfeer van rij 0010. Cliënten moeten deze transacties niet opnieuw opnemen als de transactie voldoet aan de vereisten van artikel 305, leden 2, 3 en 4, van deze verordening. </w:t>
            </w:r>
          </w:p>
        </w:tc>
      </w:tr>
      <w:tr w:rsidR="00680687" w:rsidRPr="00C952BB" w14:paraId="08AD2EE8" w14:textId="77777777" w:rsidTr="006A3ADC">
        <w:tc>
          <w:tcPr>
            <w:tcW w:w="1172" w:type="dxa"/>
          </w:tcPr>
          <w:p w14:paraId="4A924DC9"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0060</w:t>
            </w:r>
          </w:p>
        </w:tc>
        <w:tc>
          <w:tcPr>
            <w:tcW w:w="7844" w:type="dxa"/>
          </w:tcPr>
          <w:p w14:paraId="69BEF048"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Transacties met niet-financiële tegenpartijen</w:t>
            </w:r>
          </w:p>
          <w:p w14:paraId="5D14F94F" w14:textId="77777777" w:rsidR="00680687" w:rsidRPr="00C952BB" w:rsidRDefault="00680687" w:rsidP="006A3ADC">
            <w:pPr>
              <w:rPr>
                <w:rFonts w:ascii="Times New Roman" w:hAnsi="Times New Roman"/>
                <w:sz w:val="24"/>
                <w:lang w:val="nl-BE"/>
              </w:rPr>
            </w:pPr>
            <w:r w:rsidRPr="00C952BB">
              <w:rPr>
                <w:rFonts w:ascii="Times New Roman" w:hAnsi="Times New Roman"/>
                <w:lang w:val="nl-BE"/>
              </w:rPr>
              <w:t>Marginale impact van opnieuw opnemen van transacties met niet-financiële tegenpartijen als bedoeld in artikel 382, lid 4, a), van Verordening (EU) nr. 575/2013.</w:t>
            </w:r>
          </w:p>
        </w:tc>
      </w:tr>
      <w:tr w:rsidR="00680687" w:rsidRPr="00C952BB" w14:paraId="0299633B" w14:textId="77777777" w:rsidTr="006A3ADC">
        <w:tc>
          <w:tcPr>
            <w:tcW w:w="1172" w:type="dxa"/>
          </w:tcPr>
          <w:p w14:paraId="76ED40A3"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0070</w:t>
            </w:r>
          </w:p>
        </w:tc>
        <w:tc>
          <w:tcPr>
            <w:tcW w:w="7844" w:type="dxa"/>
          </w:tcPr>
          <w:p w14:paraId="06D59C90"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Transacties met uitsluitend niet-financiële tegenpartijen uit de EU</w:t>
            </w:r>
          </w:p>
          <w:p w14:paraId="4BE3F0CA"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Marginale impact van opnieuw opnemen van transacties met uitsluitend niet-financiële tegenpartijen uit de EU. Het totaal van de transacties bestaat uit alle in rij 0060 gerapporteerde transacties, min de in rij 0080 gerapporteerde transacties.</w:t>
            </w:r>
          </w:p>
        </w:tc>
      </w:tr>
      <w:tr w:rsidR="00680687" w:rsidRPr="00C952BB" w14:paraId="3731030D" w14:textId="77777777" w:rsidTr="006A3ADC">
        <w:tc>
          <w:tcPr>
            <w:tcW w:w="1172" w:type="dxa"/>
          </w:tcPr>
          <w:p w14:paraId="51808CD9"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0080</w:t>
            </w:r>
          </w:p>
        </w:tc>
        <w:tc>
          <w:tcPr>
            <w:tcW w:w="7844" w:type="dxa"/>
          </w:tcPr>
          <w:p w14:paraId="4BA84670"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Transacties met uitsluitend niet-financiële tegenpartijen uit derde landen</w:t>
            </w:r>
          </w:p>
          <w:p w14:paraId="11A30CDC" w14:textId="77777777" w:rsidR="00680687" w:rsidRPr="00C952BB" w:rsidRDefault="00680687" w:rsidP="006A3ADC">
            <w:pPr>
              <w:rPr>
                <w:rFonts w:ascii="Times New Roman" w:hAnsi="Times New Roman"/>
                <w:b/>
                <w:sz w:val="24"/>
                <w:u w:val="single"/>
                <w:lang w:val="nl-BE"/>
              </w:rPr>
            </w:pPr>
            <w:r w:rsidRPr="00C952BB">
              <w:rPr>
                <w:rFonts w:ascii="Times New Roman" w:hAnsi="Times New Roman"/>
                <w:sz w:val="24"/>
                <w:lang w:val="nl-BE"/>
              </w:rPr>
              <w:t xml:space="preserve">Marginale impact van opnieuw opnemen van transacties met uitsluitend niet-financiële tegenpartijen uit derde landen. </w:t>
            </w:r>
            <w:r w:rsidRPr="00C952BB">
              <w:rPr>
                <w:rFonts w:ascii="Times New Roman" w:hAnsi="Times New Roman"/>
                <w:lang w:val="nl-BE"/>
              </w:rPr>
              <w:t>Het totaal van de transacties bestaat uit alle in rij 0060 gerapporteerde transacties, min de in rij 0070 gerapporteerde transacties.</w:t>
            </w:r>
          </w:p>
        </w:tc>
      </w:tr>
      <w:tr w:rsidR="00680687" w:rsidRPr="00C952BB" w14:paraId="18A77771" w14:textId="77777777" w:rsidTr="006A3ADC">
        <w:tc>
          <w:tcPr>
            <w:tcW w:w="1172" w:type="dxa"/>
          </w:tcPr>
          <w:p w14:paraId="6E4EED3A"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0090</w:t>
            </w:r>
          </w:p>
        </w:tc>
        <w:tc>
          <w:tcPr>
            <w:tcW w:w="7844" w:type="dxa"/>
          </w:tcPr>
          <w:p w14:paraId="64EFAC4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Intragroeptransacties</w:t>
            </w:r>
          </w:p>
          <w:p w14:paraId="59B1E4E8" w14:textId="77777777" w:rsidR="00680687" w:rsidRPr="00C952BB" w:rsidRDefault="00680687" w:rsidP="006A3ADC">
            <w:pPr>
              <w:rPr>
                <w:rFonts w:ascii="Times New Roman" w:hAnsi="Times New Roman"/>
                <w:sz w:val="24"/>
                <w:lang w:val="nl-BE"/>
              </w:rPr>
            </w:pPr>
            <w:r w:rsidRPr="00C952BB">
              <w:rPr>
                <w:rFonts w:ascii="Times New Roman" w:hAnsi="Times New Roman"/>
                <w:sz w:val="24"/>
                <w:szCs w:val="32"/>
                <w:lang w:val="nl-BE"/>
              </w:rPr>
              <w:t>Marginale impact van opnieuw opnemen van intragroeptransacties als bedoeld in artikel 382, lid 4, b), van Verordening (EU) nr. 575/2013.</w:t>
            </w:r>
          </w:p>
        </w:tc>
      </w:tr>
      <w:tr w:rsidR="00680687" w:rsidRPr="00C952BB" w14:paraId="31EEAE35" w14:textId="77777777" w:rsidTr="006A3ADC">
        <w:tc>
          <w:tcPr>
            <w:tcW w:w="1172" w:type="dxa"/>
          </w:tcPr>
          <w:p w14:paraId="6B9DF7C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0100</w:t>
            </w:r>
          </w:p>
        </w:tc>
        <w:tc>
          <w:tcPr>
            <w:tcW w:w="7844" w:type="dxa"/>
          </w:tcPr>
          <w:p w14:paraId="26366874"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 xml:space="preserve">Transacties met pensioenfondsen-tegenpartijen </w:t>
            </w:r>
          </w:p>
          <w:p w14:paraId="1051EC9B"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sz w:val="24"/>
                <w:lang w:val="nl-BE"/>
              </w:rPr>
              <w:t xml:space="preserve">Marginale impact van opnieuw opnemen van transacties met pensioenfondsen-tegenpartijen die zijn afgesloten tijdens de in artikel 89, lid 1, van Verordening (EU) nr. 648/2012 bepaalde overgangsperiode en die zijn uitgesloten van de toepassing van de eigenvermogenvereisten voor CVA-risico overeenkomstig artikel 382, lid 4, tweede alinea, van Verordening (EU) nr. 575/2013. In artikel 382, lid4, punt c), vermelde transacties die niet zijn afgesloten tijdens de in artikel 89, lid 1, van Verordening (EU) nr. 648/2012 bepaalde overgangsperiode, </w:t>
            </w:r>
            <w:r w:rsidRPr="00C952BB">
              <w:rPr>
                <w:rFonts w:ascii="Times New Roman" w:hAnsi="Times New Roman"/>
                <w:sz w:val="24"/>
                <w:lang w:val="nl-BE"/>
              </w:rPr>
              <w:lastRenderedPageBreak/>
              <w:t>worden niet beschouwd als uitgesloten transacties, aangezien de overgangsperiode voor de toepassing van die uitsluiting is verstreken.</w:t>
            </w:r>
          </w:p>
        </w:tc>
      </w:tr>
      <w:tr w:rsidR="00680687" w:rsidRPr="00C952BB" w14:paraId="672E6D90" w14:textId="77777777" w:rsidTr="006A3ADC">
        <w:tc>
          <w:tcPr>
            <w:tcW w:w="1172" w:type="dxa"/>
          </w:tcPr>
          <w:p w14:paraId="2C9DEE1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lastRenderedPageBreak/>
              <w:t>0110</w:t>
            </w:r>
          </w:p>
        </w:tc>
        <w:tc>
          <w:tcPr>
            <w:tcW w:w="7844" w:type="dxa"/>
          </w:tcPr>
          <w:p w14:paraId="41C2A83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Transacties met overheden-tegenpartijen</w:t>
            </w:r>
          </w:p>
          <w:p w14:paraId="63BD107D" w14:textId="77777777" w:rsidR="00680687" w:rsidRPr="00C952BB" w:rsidRDefault="00680687" w:rsidP="006A3ADC">
            <w:pPr>
              <w:rPr>
                <w:rFonts w:ascii="Times New Roman" w:hAnsi="Times New Roman"/>
                <w:sz w:val="24"/>
                <w:lang w:val="nl-BE"/>
              </w:rPr>
            </w:pPr>
            <w:r w:rsidRPr="00C952BB">
              <w:rPr>
                <w:rFonts w:ascii="Times New Roman" w:hAnsi="Times New Roman"/>
                <w:lang w:val="nl-BE"/>
              </w:rPr>
              <w:t>Marginale impact van opnieuw opnemen van transacties met overheden-tegenpartijen als bedoeld in artikel 382, lid 4, d), van Verordening (EU) nr. 575/2013.</w:t>
            </w:r>
          </w:p>
        </w:tc>
      </w:tr>
      <w:tr w:rsidR="00680687" w:rsidRPr="00C952BB" w14:paraId="2FAF19E8" w14:textId="77777777" w:rsidTr="006A3ADC">
        <w:tc>
          <w:tcPr>
            <w:tcW w:w="1172" w:type="dxa"/>
          </w:tcPr>
          <w:p w14:paraId="7B2E2B90"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0120</w:t>
            </w:r>
          </w:p>
        </w:tc>
        <w:tc>
          <w:tcPr>
            <w:tcW w:w="7844" w:type="dxa"/>
          </w:tcPr>
          <w:p w14:paraId="354A35F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 xml:space="preserve">CVA-afdekkingen van uitgesloten transacties buiten CVA </w:t>
            </w:r>
          </w:p>
          <w:p w14:paraId="7B05FC5B"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 xml:space="preserve">CVA-afdekkingen van uitgesloten transacties die niet zijn inbegrepen in de reikwijdte van de eigenvermogensvereisten voor CVA-risico en die vallen onder de kapitaalvereisten voor markrisico. </w:t>
            </w:r>
          </w:p>
        </w:tc>
      </w:tr>
      <w:tr w:rsidR="00680687" w:rsidRPr="00C952BB" w14:paraId="01CC7562" w14:textId="77777777" w:rsidTr="006A3ADC">
        <w:tc>
          <w:tcPr>
            <w:tcW w:w="1172" w:type="dxa"/>
          </w:tcPr>
          <w:p w14:paraId="6B81B404"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0130</w:t>
            </w:r>
          </w:p>
        </w:tc>
        <w:tc>
          <w:tcPr>
            <w:tcW w:w="7844" w:type="dxa"/>
          </w:tcPr>
          <w:p w14:paraId="69E3FC61"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 xml:space="preserve">Totaal niet-centraal-geclearde SFT’s die tegen reële waarde worden gewaardeerd voor boekhoudkundige doeleinden, exclusief uitgesloten transacties </w:t>
            </w:r>
          </w:p>
          <w:p w14:paraId="6A560A0D" w14:textId="042E0D75" w:rsidR="00680687" w:rsidRPr="00C952BB" w:rsidRDefault="00680687" w:rsidP="006A3ADC">
            <w:pPr>
              <w:rPr>
                <w:rFonts w:ascii="Times New Roman" w:hAnsi="Times New Roman"/>
                <w:sz w:val="24"/>
                <w:lang w:val="nl-BE"/>
              </w:rPr>
            </w:pPr>
            <w:r w:rsidRPr="00C952BB">
              <w:rPr>
                <w:rFonts w:ascii="Times New Roman" w:hAnsi="Times New Roman"/>
                <w:sz w:val="24"/>
                <w:lang w:val="nl-BE"/>
              </w:rPr>
              <w:t>SFT’s die tegen reële waarde worden gewaardeerd voor boekhoudkundige doeleinden en die overeenkomstig artikel 382, lid 2, van Verordening (EU) nr. 575/2013 onder de eigenvermogensvereisten voor CVA-risico zouden vallen, ongeacht of de eruit voortvloeiende blootstellingen aan CVA-risico wezenlijk zijn. SFT’s die zijn uitgesloten van de eigenvermogensvereisten voor CVA-risico overeenkomstig artikel 382, leden 3 en 4, van Verordening (EU) nr. 575/2013, maken geen deel uit van de berekeningen tenzij de instelling deze transacties opneemt in de reikwijdte van de eigenvermogensvereisten voor CVA-risico overeenkomstig artikel 382, lid 4 bis, van Verordening (EU) nr. 575/2013.</w:t>
            </w:r>
          </w:p>
        </w:tc>
      </w:tr>
      <w:tr w:rsidR="00680687" w:rsidRPr="00C952BB" w14:paraId="51558923" w14:textId="77777777" w:rsidTr="006A3ADC">
        <w:tc>
          <w:tcPr>
            <w:tcW w:w="1172" w:type="dxa"/>
          </w:tcPr>
          <w:p w14:paraId="1BBFF03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0140-0160</w:t>
            </w:r>
          </w:p>
        </w:tc>
        <w:tc>
          <w:tcPr>
            <w:tcW w:w="7844" w:type="dxa"/>
          </w:tcPr>
          <w:p w14:paraId="2D6F4FFE"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CVA-afdekkingen</w:t>
            </w:r>
          </w:p>
          <w:p w14:paraId="225C7DDF" w14:textId="77777777" w:rsidR="00680687" w:rsidRPr="00C952BB" w:rsidRDefault="00680687" w:rsidP="006A3ADC">
            <w:pPr>
              <w:rPr>
                <w:rFonts w:ascii="Times New Roman" w:hAnsi="Times New Roman"/>
                <w:b/>
                <w:bCs/>
                <w:caps/>
                <w:sz w:val="24"/>
                <w:u w:val="single"/>
                <w:lang w:val="nl-BE"/>
              </w:rPr>
            </w:pPr>
            <w:r w:rsidRPr="00C952BB">
              <w:rPr>
                <w:rFonts w:ascii="Times New Roman" w:hAnsi="Times New Roman"/>
                <w:sz w:val="24"/>
                <w:lang w:val="nl-BE"/>
              </w:rPr>
              <w:t>Artikel 386 van Verordening (EU) nr. 575/2013</w:t>
            </w:r>
          </w:p>
        </w:tc>
      </w:tr>
      <w:tr w:rsidR="00680687" w:rsidRPr="00C952BB" w14:paraId="0F486D81" w14:textId="77777777" w:rsidTr="006A3ADC">
        <w:tc>
          <w:tcPr>
            <w:tcW w:w="1172" w:type="dxa"/>
          </w:tcPr>
          <w:p w14:paraId="597AD53C"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0140</w:t>
            </w:r>
          </w:p>
        </w:tc>
        <w:tc>
          <w:tcPr>
            <w:tcW w:w="7844" w:type="dxa"/>
          </w:tcPr>
          <w:p w14:paraId="5853509D"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Single-name-kredietverzuimswaps</w:t>
            </w:r>
          </w:p>
        </w:tc>
      </w:tr>
      <w:tr w:rsidR="00680687" w:rsidRPr="00C952BB" w14:paraId="2EFC56DA" w14:textId="77777777" w:rsidTr="006A3ADC">
        <w:tc>
          <w:tcPr>
            <w:tcW w:w="1172" w:type="dxa"/>
          </w:tcPr>
          <w:p w14:paraId="689DB8DD"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0150</w:t>
            </w:r>
          </w:p>
        </w:tc>
        <w:tc>
          <w:tcPr>
            <w:tcW w:w="7844" w:type="dxa"/>
          </w:tcPr>
          <w:p w14:paraId="05C9EFAC"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Index-kredietverzuimswaps</w:t>
            </w:r>
          </w:p>
        </w:tc>
      </w:tr>
      <w:tr w:rsidR="00680687" w:rsidRPr="00C952BB" w14:paraId="0756472C" w14:textId="77777777" w:rsidTr="006A3ADC">
        <w:tc>
          <w:tcPr>
            <w:tcW w:w="1172" w:type="dxa"/>
          </w:tcPr>
          <w:p w14:paraId="219CB9F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0160</w:t>
            </w:r>
          </w:p>
        </w:tc>
        <w:tc>
          <w:tcPr>
            <w:tcW w:w="7844" w:type="dxa"/>
          </w:tcPr>
          <w:p w14:paraId="14973198"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Andere derivaten die als CVA-risicoafdekkingen zijn geclassificeerd</w:t>
            </w:r>
          </w:p>
        </w:tc>
      </w:tr>
      <w:tr w:rsidR="00680687" w:rsidRPr="00C952BB" w14:paraId="3769678C" w14:textId="77777777" w:rsidTr="006A3ADC">
        <w:tc>
          <w:tcPr>
            <w:tcW w:w="1172" w:type="dxa"/>
          </w:tcPr>
          <w:p w14:paraId="13F52A3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0170-0220</w:t>
            </w:r>
          </w:p>
        </w:tc>
        <w:tc>
          <w:tcPr>
            <w:tcW w:w="7844" w:type="dxa"/>
          </w:tcPr>
          <w:p w14:paraId="3F625C66"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Soorten transacties van tegenpartijen onderworpen aan de SA-CVA-benadering</w:t>
            </w:r>
          </w:p>
          <w:p w14:paraId="3B7F80A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445 bis, lid 1, punt c), van Verordening (EU) nr. 575/2013.</w:t>
            </w:r>
          </w:p>
          <w:p w14:paraId="25779170" w14:textId="77777777" w:rsidR="00680687" w:rsidRPr="00C952BB" w:rsidRDefault="00680687" w:rsidP="006A3ADC">
            <w:pPr>
              <w:spacing w:before="60"/>
              <w:rPr>
                <w:rFonts w:ascii="Times New Roman" w:hAnsi="Times New Roman"/>
                <w:sz w:val="24"/>
                <w:lang w:val="nl-BE"/>
              </w:rPr>
            </w:pPr>
            <w:r w:rsidRPr="00C952BB">
              <w:rPr>
                <w:rFonts w:ascii="Times New Roman" w:hAnsi="Times New Roman"/>
                <w:sz w:val="24"/>
                <w:lang w:val="nl-BE"/>
              </w:rPr>
              <w:t>Voor elke tegenpartij wordt één sector gekozen op basis van de volgende FINREP-indeling van economische sectoren (zie deel 3 van bijlage V bij deze uitvoeringsverordening).</w:t>
            </w:r>
          </w:p>
          <w:p w14:paraId="77133872" w14:textId="77777777" w:rsidR="00680687" w:rsidRPr="00C952BB" w:rsidRDefault="00680687" w:rsidP="006A3ADC">
            <w:pPr>
              <w:spacing w:before="60"/>
              <w:rPr>
                <w:rFonts w:ascii="Times New Roman" w:hAnsi="Times New Roman"/>
                <w:sz w:val="24"/>
                <w:lang w:val="nl-BE"/>
              </w:rPr>
            </w:pPr>
            <w:r w:rsidRPr="00C952BB">
              <w:rPr>
                <w:rFonts w:ascii="Times New Roman" w:hAnsi="Times New Roman"/>
                <w:sz w:val="24"/>
                <w:lang w:val="nl-BE"/>
              </w:rPr>
              <w:t>Het aantal tegenpartijen per sector wordt gerapporteerd in kolom 0130.</w:t>
            </w:r>
          </w:p>
        </w:tc>
      </w:tr>
      <w:tr w:rsidR="00680687" w:rsidRPr="00C952BB" w14:paraId="5B81430B" w14:textId="77777777" w:rsidTr="006A3ADC">
        <w:tc>
          <w:tcPr>
            <w:tcW w:w="1172" w:type="dxa"/>
          </w:tcPr>
          <w:p w14:paraId="61B642B2"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0170</w:t>
            </w:r>
          </w:p>
        </w:tc>
        <w:tc>
          <w:tcPr>
            <w:tcW w:w="7844" w:type="dxa"/>
          </w:tcPr>
          <w:p w14:paraId="28298287"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Centrale banken</w:t>
            </w:r>
          </w:p>
        </w:tc>
      </w:tr>
      <w:tr w:rsidR="00680687" w:rsidRPr="00C952BB" w14:paraId="3880D5FA" w14:textId="77777777" w:rsidTr="006A3ADC">
        <w:tc>
          <w:tcPr>
            <w:tcW w:w="1172" w:type="dxa"/>
          </w:tcPr>
          <w:p w14:paraId="08F5DA36"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0180</w:t>
            </w:r>
          </w:p>
        </w:tc>
        <w:tc>
          <w:tcPr>
            <w:tcW w:w="7844" w:type="dxa"/>
          </w:tcPr>
          <w:p w14:paraId="5AC0FB98"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Overheden</w:t>
            </w:r>
          </w:p>
        </w:tc>
      </w:tr>
      <w:tr w:rsidR="00680687" w:rsidRPr="00C952BB" w14:paraId="4826C3E9" w14:textId="77777777" w:rsidTr="006A3ADC">
        <w:tc>
          <w:tcPr>
            <w:tcW w:w="1172" w:type="dxa"/>
          </w:tcPr>
          <w:p w14:paraId="419DB6E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0190</w:t>
            </w:r>
          </w:p>
        </w:tc>
        <w:tc>
          <w:tcPr>
            <w:tcW w:w="7844" w:type="dxa"/>
          </w:tcPr>
          <w:p w14:paraId="5A7EA903"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Kredietinstellingen</w:t>
            </w:r>
          </w:p>
        </w:tc>
      </w:tr>
      <w:tr w:rsidR="00680687" w:rsidRPr="00C952BB" w14:paraId="60A5D5E9" w14:textId="77777777" w:rsidTr="006A3ADC">
        <w:tc>
          <w:tcPr>
            <w:tcW w:w="1172" w:type="dxa"/>
          </w:tcPr>
          <w:p w14:paraId="1236AA19"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lastRenderedPageBreak/>
              <w:t>0200</w:t>
            </w:r>
          </w:p>
        </w:tc>
        <w:tc>
          <w:tcPr>
            <w:tcW w:w="7844" w:type="dxa"/>
          </w:tcPr>
          <w:p w14:paraId="56283C80"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Beleggingsondernemingen</w:t>
            </w:r>
          </w:p>
        </w:tc>
      </w:tr>
      <w:tr w:rsidR="00680687" w:rsidRPr="00C952BB" w14:paraId="2445ED8F" w14:textId="77777777" w:rsidTr="006A3ADC">
        <w:tc>
          <w:tcPr>
            <w:tcW w:w="1172" w:type="dxa"/>
          </w:tcPr>
          <w:p w14:paraId="550C3C8F"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0210</w:t>
            </w:r>
          </w:p>
        </w:tc>
        <w:tc>
          <w:tcPr>
            <w:tcW w:w="7844" w:type="dxa"/>
          </w:tcPr>
          <w:p w14:paraId="517C2FE3"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Overige financiële ondernemingen (met uitsluiting van beleggingsondernemingen)</w:t>
            </w:r>
          </w:p>
        </w:tc>
      </w:tr>
      <w:tr w:rsidR="00680687" w:rsidRPr="00C952BB" w14:paraId="167237FD" w14:textId="77777777" w:rsidTr="006A3ADC">
        <w:tc>
          <w:tcPr>
            <w:tcW w:w="1172" w:type="dxa"/>
          </w:tcPr>
          <w:p w14:paraId="29B7557A"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0220</w:t>
            </w:r>
          </w:p>
        </w:tc>
        <w:tc>
          <w:tcPr>
            <w:tcW w:w="7844" w:type="dxa"/>
          </w:tcPr>
          <w:p w14:paraId="7956EA94"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Niet-financiële vennootschappen</w:t>
            </w:r>
          </w:p>
        </w:tc>
      </w:tr>
      <w:tr w:rsidR="00680687" w:rsidRPr="00C952BB" w14:paraId="6BACE521" w14:textId="77777777" w:rsidTr="006A3ADC">
        <w:tc>
          <w:tcPr>
            <w:tcW w:w="1172" w:type="dxa"/>
          </w:tcPr>
          <w:p w14:paraId="36DAA114"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0230</w:t>
            </w:r>
          </w:p>
        </w:tc>
        <w:tc>
          <w:tcPr>
            <w:tcW w:w="7844" w:type="dxa"/>
          </w:tcPr>
          <w:p w14:paraId="7C6250A2"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Aggregatie van systematische componenten van CVA-risico</w:t>
            </w:r>
          </w:p>
          <w:p w14:paraId="62BC44EB"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384, lid 3, van Verordening (EU) nr. 575/2013 Eigenvermogensvereisten op basis van aanname van perfecte correlatie (</w:t>
            </w:r>
            <w:r w:rsidRPr="00C952BB">
              <w:rPr>
                <w:rFonts w:ascii="Times New Roman" w:hAnsi="Times New Roman"/>
                <w:sz w:val="24"/>
                <w:lang w:val="nl-BE"/>
              </w:rPr>
              <w:sym w:font="Symbol" w:char="F053"/>
            </w:r>
            <w:r w:rsidRPr="00C952BB">
              <w:rPr>
                <w:rFonts w:ascii="Times New Roman" w:hAnsi="Times New Roman"/>
                <w:sz w:val="24"/>
                <w:vertAlign w:val="subscript"/>
                <w:lang w:val="nl-BE"/>
              </w:rPr>
              <w:t>c</w:t>
            </w:r>
            <w:r w:rsidRPr="00C952BB">
              <w:rPr>
                <w:rFonts w:ascii="Times New Roman" w:hAnsi="Times New Roman"/>
                <w:sz w:val="24"/>
                <w:lang w:val="nl-BE"/>
              </w:rPr>
              <w:t>SCVA</w:t>
            </w:r>
            <w:r w:rsidRPr="00C952BB">
              <w:rPr>
                <w:rFonts w:ascii="Times New Roman" w:hAnsi="Times New Roman"/>
                <w:sz w:val="24"/>
                <w:vertAlign w:val="subscript"/>
                <w:lang w:val="nl-BE"/>
              </w:rPr>
              <w:t>c</w:t>
            </w:r>
            <w:r w:rsidRPr="00C952BB">
              <w:rPr>
                <w:rFonts w:ascii="Times New Roman" w:hAnsi="Times New Roman"/>
                <w:sz w:val="24"/>
                <w:lang w:val="nl-BE"/>
              </w:rPr>
              <w:t>).</w:t>
            </w:r>
            <w:r w:rsidRPr="00C952BB">
              <w:rPr>
                <w:rFonts w:ascii="Times New Roman" w:hAnsi="Times New Roman"/>
                <w:sz w:val="24"/>
                <w:vertAlign w:val="subscript"/>
                <w:lang w:val="nl-BE"/>
              </w:rPr>
              <w:t xml:space="preserve">  </w:t>
            </w:r>
            <w:r w:rsidRPr="00C952BB">
              <w:rPr>
                <w:rFonts w:ascii="Times New Roman" w:hAnsi="Times New Roman"/>
                <w:sz w:val="24"/>
                <w:lang w:val="nl-BE"/>
              </w:rPr>
              <w:t>De disconteringsfactor 0,65 wordt niet toegepast.</w:t>
            </w:r>
          </w:p>
        </w:tc>
      </w:tr>
      <w:tr w:rsidR="00680687" w:rsidRPr="00C952BB" w14:paraId="65206CF9" w14:textId="77777777" w:rsidTr="006A3ADC">
        <w:tc>
          <w:tcPr>
            <w:tcW w:w="1172" w:type="dxa"/>
          </w:tcPr>
          <w:p w14:paraId="62DF0332"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0240</w:t>
            </w:r>
          </w:p>
        </w:tc>
        <w:tc>
          <w:tcPr>
            <w:tcW w:w="7844" w:type="dxa"/>
          </w:tcPr>
          <w:p w14:paraId="208A77B2" w14:textId="77777777" w:rsidR="00680687" w:rsidRPr="00C952BB" w:rsidRDefault="00680687" w:rsidP="006A3ADC">
            <w:pPr>
              <w:rPr>
                <w:rFonts w:ascii="Times New Roman" w:hAnsi="Times New Roman"/>
                <w:b/>
                <w:bCs/>
                <w:sz w:val="24"/>
                <w:u w:val="single"/>
                <w:lang w:val="nl-BE"/>
              </w:rPr>
            </w:pPr>
            <w:r w:rsidRPr="00C952BB">
              <w:rPr>
                <w:rFonts w:ascii="Times New Roman" w:hAnsi="Times New Roman"/>
                <w:b/>
                <w:sz w:val="24"/>
                <w:u w:val="single"/>
                <w:lang w:val="nl-BE"/>
              </w:rPr>
              <w:t>Aggregatie van idiosyncratische componenten van CVA-risico</w:t>
            </w:r>
          </w:p>
          <w:p w14:paraId="7B1EBC08" w14:textId="77777777" w:rsidR="00680687" w:rsidRPr="00C952BB" w:rsidRDefault="00680687" w:rsidP="006A3ADC">
            <w:pPr>
              <w:rPr>
                <w:rFonts w:ascii="Times New Roman" w:hAnsi="Times New Roman"/>
                <w:sz w:val="24"/>
                <w:lang w:val="nl-BE"/>
              </w:rPr>
            </w:pPr>
            <w:r w:rsidRPr="00C952BB">
              <w:rPr>
                <w:rFonts w:ascii="Times New Roman" w:hAnsi="Times New Roman"/>
                <w:sz w:val="24"/>
                <w:lang w:val="nl-BE"/>
              </w:rPr>
              <w:t>Artikel 384, lid 3, van Verordening (EU) nr. 575/2013 Eigenvermogensvereisten op basis van aanname van geen correlatie (sqrt(</w:t>
            </w:r>
            <w:r w:rsidRPr="00C952BB">
              <w:rPr>
                <w:rFonts w:ascii="Times New Roman" w:hAnsi="Times New Roman"/>
                <w:sz w:val="24"/>
                <w:lang w:val="nl-BE"/>
              </w:rPr>
              <w:sym w:font="Symbol" w:char="F053"/>
            </w:r>
            <w:r w:rsidRPr="00C952BB">
              <w:rPr>
                <w:rFonts w:ascii="Times New Roman" w:hAnsi="Times New Roman"/>
                <w:sz w:val="24"/>
                <w:vertAlign w:val="subscript"/>
                <w:lang w:val="nl-BE"/>
              </w:rPr>
              <w:t>c</w:t>
            </w:r>
            <w:r w:rsidRPr="00C952BB">
              <w:rPr>
                <w:rFonts w:ascii="Times New Roman" w:hAnsi="Times New Roman"/>
                <w:sz w:val="24"/>
                <w:lang w:val="nl-BE"/>
              </w:rPr>
              <w:t>SCVA</w:t>
            </w:r>
            <w:r w:rsidRPr="00C952BB">
              <w:rPr>
                <w:rFonts w:ascii="Times New Roman" w:hAnsi="Times New Roman"/>
                <w:sz w:val="24"/>
                <w:vertAlign w:val="subscript"/>
                <w:lang w:val="nl-BE"/>
              </w:rPr>
              <w:t>c</w:t>
            </w:r>
            <w:r w:rsidRPr="00C952BB">
              <w:rPr>
                <w:rFonts w:ascii="Times New Roman" w:hAnsi="Times New Roman"/>
                <w:sz w:val="24"/>
                <w:vertAlign w:val="superscript"/>
                <w:lang w:val="nl-BE"/>
              </w:rPr>
              <w:t>2</w:t>
            </w:r>
            <w:r w:rsidRPr="00C952BB">
              <w:rPr>
                <w:rFonts w:ascii="Times New Roman" w:hAnsi="Times New Roman"/>
                <w:sz w:val="24"/>
                <w:lang w:val="nl-BE"/>
              </w:rPr>
              <w:t>). De disconteringsfactor 0,65 wordt niet toegepast.</w:t>
            </w:r>
          </w:p>
        </w:tc>
      </w:tr>
    </w:tbl>
    <w:p w14:paraId="28018638" w14:textId="77777777" w:rsidR="00680687" w:rsidRPr="00C952BB" w:rsidRDefault="00680687" w:rsidP="00680687">
      <w:pPr>
        <w:rPr>
          <w:lang w:val="nl-BE"/>
        </w:rPr>
      </w:pPr>
    </w:p>
    <w:p w14:paraId="5D86CC30" w14:textId="77777777" w:rsidR="00680687" w:rsidRPr="00C952BB" w:rsidRDefault="00680687" w:rsidP="00680687">
      <w:pPr>
        <w:rPr>
          <w:lang w:val="nl-BE"/>
        </w:rPr>
      </w:pPr>
    </w:p>
    <w:p w14:paraId="4A82DB4D" w14:textId="77777777" w:rsidR="00606FB5" w:rsidRPr="00C952BB" w:rsidRDefault="00606FB5" w:rsidP="00606FB5">
      <w:pPr>
        <w:pStyle w:val="Instructionsberschrift2"/>
        <w:numPr>
          <w:ilvl w:val="0"/>
          <w:numId w:val="0"/>
        </w:numPr>
        <w:ind w:left="357" w:hanging="357"/>
        <w:rPr>
          <w:rFonts w:ascii="Times New Roman" w:hAnsi="Times New Roman" w:cs="Times New Roman"/>
          <w:sz w:val="24"/>
          <w:lang w:val="nl-BE"/>
        </w:rPr>
      </w:pPr>
    </w:p>
    <w:p w14:paraId="4C3A5630" w14:textId="77777777" w:rsidR="00606FB5" w:rsidRPr="00C952BB" w:rsidRDefault="00606FB5" w:rsidP="00606FB5">
      <w:pPr>
        <w:pStyle w:val="Instructionsberschrift2"/>
        <w:numPr>
          <w:ilvl w:val="0"/>
          <w:numId w:val="0"/>
        </w:numPr>
        <w:ind w:left="357" w:hanging="357"/>
        <w:rPr>
          <w:rFonts w:ascii="Times New Roman" w:hAnsi="Times New Roman" w:cs="Times New Roman"/>
          <w:sz w:val="24"/>
          <w:lang w:val="nl-BE"/>
        </w:rPr>
      </w:pPr>
    </w:p>
    <w:bookmarkEnd w:id="6"/>
    <w:p w14:paraId="1A587C69" w14:textId="77777777" w:rsidR="00606FB5" w:rsidRPr="00C952BB" w:rsidRDefault="00606FB5" w:rsidP="00606FB5">
      <w:pPr>
        <w:rPr>
          <w:lang w:val="nl-BE"/>
        </w:rPr>
      </w:pPr>
    </w:p>
    <w:sectPr w:rsidR="00606FB5" w:rsidRPr="00C952BB">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Pr="00C952BB" w:rsidRDefault="001E5355" w:rsidP="007341EC">
      <w:pPr>
        <w:spacing w:before="0" w:after="0"/>
        <w:rPr>
          <w:lang w:val="pl-PL"/>
        </w:rPr>
      </w:pPr>
      <w:r w:rsidRPr="00C952BB">
        <w:rPr>
          <w:lang w:val="pl-PL"/>
        </w:rPr>
        <w:separator/>
      </w:r>
    </w:p>
  </w:endnote>
  <w:endnote w:type="continuationSeparator" w:id="0">
    <w:p w14:paraId="6E16C8BF" w14:textId="77777777" w:rsidR="001E5355" w:rsidRPr="00C952BB" w:rsidRDefault="001E5355" w:rsidP="007341EC">
      <w:pPr>
        <w:spacing w:before="0" w:after="0"/>
        <w:rPr>
          <w:lang w:val="pl-PL"/>
        </w:rPr>
      </w:pPr>
      <w:r w:rsidRPr="00C952BB">
        <w:rPr>
          <w:lang w:val="pl-P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Pr="00C952BB" w:rsidRDefault="001E5355" w:rsidP="007341EC">
      <w:pPr>
        <w:spacing w:before="0" w:after="0"/>
        <w:rPr>
          <w:lang w:val="pl-PL"/>
        </w:rPr>
      </w:pPr>
      <w:r w:rsidRPr="00C952BB">
        <w:rPr>
          <w:lang w:val="pl-PL"/>
        </w:rPr>
        <w:separator/>
      </w:r>
    </w:p>
  </w:footnote>
  <w:footnote w:type="continuationSeparator" w:id="0">
    <w:p w14:paraId="246DE660" w14:textId="77777777" w:rsidR="001E5355" w:rsidRPr="00C952BB" w:rsidRDefault="001E5355" w:rsidP="007341EC">
      <w:pPr>
        <w:spacing w:before="0" w:after="0"/>
        <w:rPr>
          <w:lang w:val="pl-PL"/>
        </w:rPr>
      </w:pPr>
      <w:r w:rsidRPr="00C952BB">
        <w:rPr>
          <w:lang w:val="pl-P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Pr="00C952BB" w:rsidRDefault="007341EC">
    <w:pPr>
      <w:pStyle w:val="Header"/>
      <w:rPr>
        <w:lang w:val="pl-PL"/>
      </w:rPr>
    </w:pPr>
    <w:r w:rsidRPr="00C952BB">
      <w:rPr>
        <w:lang w:val="pl-PL"/>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Pr="00C952BB" w:rsidRDefault="007341EC">
    <w:pPr>
      <w:pStyle w:val="Header"/>
      <w:rPr>
        <w:lang w:val="pl-PL"/>
      </w:rPr>
    </w:pPr>
    <w:r w:rsidRPr="00C952BB">
      <w:rPr>
        <w:lang w:val="pl-PL"/>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Pr="00C952BB" w:rsidRDefault="007341EC">
    <w:pPr>
      <w:pStyle w:val="Header"/>
      <w:rPr>
        <w:lang w:val="pl-PL"/>
      </w:rPr>
    </w:pPr>
    <w:r w:rsidRPr="00C952BB">
      <w:rPr>
        <w:lang w:val="pl-PL"/>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2BB"/>
    <w:rsid w:val="00C95377"/>
    <w:rsid w:val="00CB2E9C"/>
    <w:rsid w:val="00CC08BC"/>
    <w:rsid w:val="00CC1BE6"/>
    <w:rsid w:val="00CF011F"/>
    <w:rsid w:val="00CF1050"/>
    <w:rsid w:val="00D15003"/>
    <w:rsid w:val="00D218F5"/>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 w:val="00FC1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4290308D-375B-4DCD-9FFC-B8D6507852D2}"/>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1858</Words>
  <Characters>11857</Characters>
  <Application>Microsoft Office Word</Application>
  <DocSecurity>0</DocSecurity>
  <Lines>312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2025-01-24T11:20:55Z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820e72b1-5013-4806-864c-62095422bcf4</vt:lpwstr>
  </property>
  <property fmtid="{D5CDD505-2E9C-101B-9397-08002B2CF9AE}" pid="9" name="MSIP_Label_6bd9ddd1-4d20-43f6-abfa-fc3c07406f94_ContentBits">
    <vt:lpwstr>0</vt:lpwstr>
  </property>
</Properties>
</file>